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3E3" w:rsidRDefault="00870B59" w:rsidP="00ED23E3">
      <w:pPr>
        <w:pStyle w:val="Default"/>
        <w:rPr>
          <w:noProof/>
          <w:lang w:eastAsia="it-IT"/>
        </w:rPr>
      </w:pPr>
      <w:r>
        <w:rPr>
          <w:noProof/>
          <w:lang w:eastAsia="it-IT"/>
        </w:rPr>
        <w:drawing>
          <wp:anchor distT="0" distB="0" distL="114300" distR="114300" simplePos="0" relativeHeight="251659264" behindDoc="0" locked="0" layoutInCell="1" allowOverlap="1" wp14:anchorId="528522FC" wp14:editId="589C0612">
            <wp:simplePos x="0" y="0"/>
            <wp:positionH relativeFrom="column">
              <wp:posOffset>0</wp:posOffset>
            </wp:positionH>
            <wp:positionV relativeFrom="paragraph">
              <wp:posOffset>-635</wp:posOffset>
            </wp:positionV>
            <wp:extent cx="1371600" cy="941070"/>
            <wp:effectExtent l="0" t="0" r="0" b="0"/>
            <wp:wrapNone/>
            <wp:docPr id="2" name="Immagine 2" descr="log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B59" w:rsidRDefault="00870B59" w:rsidP="00ED23E3">
      <w:pPr>
        <w:pStyle w:val="Default"/>
        <w:rPr>
          <w:noProof/>
          <w:lang w:eastAsia="it-IT"/>
        </w:rPr>
      </w:pPr>
    </w:p>
    <w:p w:rsidR="00870B59" w:rsidRDefault="00870B59" w:rsidP="00ED23E3">
      <w:pPr>
        <w:pStyle w:val="Default"/>
        <w:rPr>
          <w:noProof/>
          <w:lang w:eastAsia="it-IT"/>
        </w:rPr>
      </w:pPr>
    </w:p>
    <w:p w:rsidR="00870B59" w:rsidRDefault="00870B59" w:rsidP="00ED23E3">
      <w:pPr>
        <w:pStyle w:val="Default"/>
        <w:rPr>
          <w:noProof/>
          <w:lang w:eastAsia="it-IT"/>
        </w:rPr>
      </w:pPr>
    </w:p>
    <w:p w:rsidR="00870B59" w:rsidRDefault="00870B59" w:rsidP="00ED23E3">
      <w:pPr>
        <w:pStyle w:val="Default"/>
        <w:rPr>
          <w:noProof/>
          <w:lang w:eastAsia="it-IT"/>
        </w:rPr>
      </w:pPr>
    </w:p>
    <w:p w:rsidR="00870B59" w:rsidRDefault="00870B59" w:rsidP="00ED23E3">
      <w:pPr>
        <w:pStyle w:val="Default"/>
      </w:pPr>
    </w:p>
    <w:p w:rsidR="00ED23E3" w:rsidRDefault="00ED23E3" w:rsidP="00ED23E3">
      <w:pPr>
        <w:pStyle w:val="Default"/>
        <w:jc w:val="center"/>
        <w:rPr>
          <w:rFonts w:asciiTheme="minorHAnsi" w:hAnsiTheme="minorHAnsi"/>
          <w:sz w:val="48"/>
          <w:szCs w:val="48"/>
        </w:rPr>
      </w:pPr>
    </w:p>
    <w:p w:rsidR="00CE2E31" w:rsidRDefault="00CE2E31" w:rsidP="00ED23E3">
      <w:pPr>
        <w:pStyle w:val="Default"/>
        <w:jc w:val="center"/>
        <w:rPr>
          <w:rFonts w:asciiTheme="minorHAnsi" w:hAnsiTheme="minorHAnsi"/>
          <w:sz w:val="48"/>
          <w:szCs w:val="48"/>
        </w:rPr>
      </w:pPr>
    </w:p>
    <w:p w:rsidR="00CE2E31" w:rsidRDefault="00CE2E31" w:rsidP="00ED23E3">
      <w:pPr>
        <w:pStyle w:val="Default"/>
        <w:jc w:val="center"/>
        <w:rPr>
          <w:rFonts w:asciiTheme="minorHAnsi" w:hAnsiTheme="minorHAnsi"/>
          <w:sz w:val="48"/>
          <w:szCs w:val="48"/>
        </w:rPr>
      </w:pPr>
    </w:p>
    <w:p w:rsidR="00CE2E31" w:rsidRDefault="00CE2E31" w:rsidP="00ED23E3">
      <w:pPr>
        <w:pStyle w:val="Default"/>
        <w:jc w:val="center"/>
        <w:rPr>
          <w:rFonts w:asciiTheme="minorHAnsi" w:hAnsiTheme="minorHAnsi"/>
          <w:sz w:val="48"/>
          <w:szCs w:val="48"/>
        </w:rPr>
      </w:pPr>
    </w:p>
    <w:p w:rsidR="00ED23E3" w:rsidRPr="00ED23E3" w:rsidRDefault="00ED23E3" w:rsidP="00ED23E3">
      <w:pPr>
        <w:pStyle w:val="Default"/>
        <w:jc w:val="center"/>
        <w:rPr>
          <w:rFonts w:asciiTheme="minorHAnsi" w:hAnsiTheme="minorHAnsi"/>
          <w:sz w:val="48"/>
          <w:szCs w:val="48"/>
        </w:rPr>
      </w:pPr>
      <w:bookmarkStart w:id="0" w:name="_Hlk133418343"/>
      <w:r w:rsidRPr="00ED23E3">
        <w:rPr>
          <w:rFonts w:asciiTheme="minorHAnsi" w:hAnsiTheme="minorHAnsi"/>
          <w:sz w:val="48"/>
          <w:szCs w:val="48"/>
        </w:rPr>
        <w:t xml:space="preserve">Relazione dell’OIV </w:t>
      </w:r>
      <w:r w:rsidRPr="00ED23E3">
        <w:rPr>
          <w:rFonts w:asciiTheme="minorHAnsi" w:hAnsiTheme="minorHAnsi"/>
          <w:bCs/>
          <w:iCs/>
          <w:sz w:val="48"/>
          <w:szCs w:val="48"/>
        </w:rPr>
        <w:t xml:space="preserve">sul funzionamento complessivo del sistema di valutazione, trasparenza e integrità dei controlli interni in attuazione dell’art. 14, comma 4, lettera a) del </w:t>
      </w:r>
      <w:proofErr w:type="spellStart"/>
      <w:r w:rsidRPr="00ED23E3">
        <w:rPr>
          <w:rFonts w:asciiTheme="minorHAnsi" w:hAnsiTheme="minorHAnsi"/>
          <w:bCs/>
          <w:iCs/>
          <w:sz w:val="48"/>
          <w:szCs w:val="48"/>
        </w:rPr>
        <w:t>D.Lgs.</w:t>
      </w:r>
      <w:proofErr w:type="spellEnd"/>
      <w:r w:rsidRPr="00ED23E3">
        <w:rPr>
          <w:rFonts w:asciiTheme="minorHAnsi" w:hAnsiTheme="minorHAnsi"/>
          <w:bCs/>
          <w:iCs/>
          <w:sz w:val="48"/>
          <w:szCs w:val="48"/>
        </w:rPr>
        <w:t xml:space="preserve"> n. 150/2009.</w:t>
      </w:r>
    </w:p>
    <w:bookmarkEnd w:id="0"/>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Default="00730407" w:rsidP="00730407">
      <w:pPr>
        <w:pStyle w:val="Default"/>
        <w:jc w:val="center"/>
        <w:rPr>
          <w:rFonts w:ascii="Calibri" w:hAnsi="Calibri"/>
          <w:b/>
          <w:i/>
          <w:sz w:val="28"/>
          <w:szCs w:val="28"/>
        </w:rPr>
      </w:pPr>
    </w:p>
    <w:p w:rsidR="00730407" w:rsidRPr="000A492B" w:rsidRDefault="00730407" w:rsidP="00730407">
      <w:pPr>
        <w:pStyle w:val="Default"/>
        <w:jc w:val="center"/>
        <w:rPr>
          <w:rFonts w:ascii="Calibri" w:hAnsi="Calibri"/>
          <w:b/>
          <w:i/>
          <w:sz w:val="28"/>
          <w:szCs w:val="28"/>
        </w:rPr>
      </w:pPr>
      <w:r w:rsidRPr="000A492B">
        <w:rPr>
          <w:rFonts w:ascii="Calibri" w:hAnsi="Calibri"/>
          <w:b/>
          <w:i/>
          <w:sz w:val="28"/>
          <w:szCs w:val="28"/>
        </w:rPr>
        <w:t>INDICE</w:t>
      </w:r>
    </w:p>
    <w:p w:rsidR="00730407" w:rsidRPr="000F01FC" w:rsidRDefault="00730407" w:rsidP="00730407">
      <w:pPr>
        <w:pStyle w:val="Default"/>
        <w:jc w:val="both"/>
        <w:rPr>
          <w:rFonts w:ascii="Calibri" w:hAnsi="Calibri"/>
          <w:bCs/>
          <w:iCs/>
          <w:sz w:val="28"/>
          <w:szCs w:val="28"/>
        </w:rPr>
      </w:pPr>
    </w:p>
    <w:p w:rsidR="0020549E" w:rsidRDefault="005F4F27">
      <w:pPr>
        <w:pStyle w:val="Sommario1"/>
        <w:rPr>
          <w:rFonts w:asciiTheme="minorHAnsi" w:eastAsiaTheme="minorEastAsia" w:hAnsiTheme="minorHAnsi" w:cstheme="minorBidi"/>
          <w:sz w:val="22"/>
          <w:szCs w:val="22"/>
          <w:lang w:val="it-IT" w:eastAsia="it-IT"/>
        </w:rPr>
      </w:pPr>
      <w:r w:rsidRPr="00B22991">
        <w:rPr>
          <w:rFonts w:asciiTheme="minorHAnsi" w:hAnsiTheme="minorHAnsi"/>
        </w:rPr>
        <w:fldChar w:fldCharType="begin"/>
      </w:r>
      <w:r w:rsidRPr="00B22991">
        <w:rPr>
          <w:rFonts w:asciiTheme="minorHAnsi" w:hAnsiTheme="minorHAnsi"/>
        </w:rPr>
        <w:instrText xml:space="preserve"> TOC \o "1-3" \h \z \u </w:instrText>
      </w:r>
      <w:r w:rsidRPr="00B22991">
        <w:rPr>
          <w:rFonts w:asciiTheme="minorHAnsi" w:hAnsiTheme="minorHAnsi"/>
        </w:rPr>
        <w:fldChar w:fldCharType="separate"/>
      </w:r>
      <w:hyperlink w:anchor="_Toc70581318" w:history="1">
        <w:r w:rsidR="0020549E" w:rsidRPr="0064644B">
          <w:rPr>
            <w:rStyle w:val="Collegamentoipertestuale"/>
          </w:rPr>
          <w:t>1.</w:t>
        </w:r>
        <w:r w:rsidR="0020549E">
          <w:rPr>
            <w:rFonts w:asciiTheme="minorHAnsi" w:eastAsiaTheme="minorEastAsia" w:hAnsiTheme="minorHAnsi" w:cstheme="minorBidi"/>
            <w:sz w:val="22"/>
            <w:szCs w:val="22"/>
            <w:lang w:val="it-IT" w:eastAsia="it-IT"/>
          </w:rPr>
          <w:tab/>
        </w:r>
        <w:r w:rsidR="0020549E" w:rsidRPr="0064644B">
          <w:rPr>
            <w:rStyle w:val="Collegamentoipertestuale"/>
          </w:rPr>
          <w:t>Presentazione e premessa</w:t>
        </w:r>
        <w:r w:rsidR="0020549E">
          <w:rPr>
            <w:webHidden/>
          </w:rPr>
          <w:tab/>
        </w:r>
        <w:r w:rsidR="0020549E">
          <w:rPr>
            <w:webHidden/>
          </w:rPr>
          <w:fldChar w:fldCharType="begin"/>
        </w:r>
        <w:r w:rsidR="0020549E">
          <w:rPr>
            <w:webHidden/>
          </w:rPr>
          <w:instrText xml:space="preserve"> PAGEREF _Toc70581318 \h </w:instrText>
        </w:r>
        <w:r w:rsidR="0020549E">
          <w:rPr>
            <w:webHidden/>
          </w:rPr>
        </w:r>
        <w:r w:rsidR="0020549E">
          <w:rPr>
            <w:webHidden/>
          </w:rPr>
          <w:fldChar w:fldCharType="separate"/>
        </w:r>
        <w:r w:rsidR="00DD72B5">
          <w:rPr>
            <w:webHidden/>
          </w:rPr>
          <w:t>3</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19" w:history="1">
        <w:r w:rsidR="0020549E" w:rsidRPr="0064644B">
          <w:rPr>
            <w:rStyle w:val="Collegamentoipertestuale"/>
          </w:rPr>
          <w:t>2.</w:t>
        </w:r>
        <w:r w:rsidR="0020549E">
          <w:rPr>
            <w:rFonts w:asciiTheme="minorHAnsi" w:eastAsiaTheme="minorEastAsia" w:hAnsiTheme="minorHAnsi" w:cstheme="minorBidi"/>
            <w:sz w:val="22"/>
            <w:szCs w:val="22"/>
            <w:lang w:val="it-IT" w:eastAsia="it-IT"/>
          </w:rPr>
          <w:tab/>
        </w:r>
        <w:r w:rsidR="0020549E" w:rsidRPr="0064644B">
          <w:rPr>
            <w:rStyle w:val="Collegamentoipertestuale"/>
          </w:rPr>
          <w:t>Performance organizzativa</w:t>
        </w:r>
        <w:r w:rsidR="0020549E">
          <w:rPr>
            <w:webHidden/>
          </w:rPr>
          <w:tab/>
        </w:r>
        <w:r w:rsidR="0020549E">
          <w:rPr>
            <w:webHidden/>
          </w:rPr>
          <w:fldChar w:fldCharType="begin"/>
        </w:r>
        <w:r w:rsidR="0020549E">
          <w:rPr>
            <w:webHidden/>
          </w:rPr>
          <w:instrText xml:space="preserve"> PAGEREF _Toc70581319 \h </w:instrText>
        </w:r>
        <w:r w:rsidR="0020549E">
          <w:rPr>
            <w:webHidden/>
          </w:rPr>
        </w:r>
        <w:r w:rsidR="0020549E">
          <w:rPr>
            <w:webHidden/>
          </w:rPr>
          <w:fldChar w:fldCharType="separate"/>
        </w:r>
        <w:r w:rsidR="00DD72B5">
          <w:rPr>
            <w:webHidden/>
          </w:rPr>
          <w:t>4</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20" w:history="1">
        <w:r w:rsidR="0020549E" w:rsidRPr="0064644B">
          <w:rPr>
            <w:rStyle w:val="Collegamentoipertestuale"/>
          </w:rPr>
          <w:t>3.</w:t>
        </w:r>
        <w:r w:rsidR="0020549E">
          <w:rPr>
            <w:rFonts w:asciiTheme="minorHAnsi" w:eastAsiaTheme="minorEastAsia" w:hAnsiTheme="minorHAnsi" w:cstheme="minorBidi"/>
            <w:sz w:val="22"/>
            <w:szCs w:val="22"/>
            <w:lang w:val="it-IT" w:eastAsia="it-IT"/>
          </w:rPr>
          <w:tab/>
        </w:r>
        <w:r w:rsidR="0020549E" w:rsidRPr="0064644B">
          <w:rPr>
            <w:rStyle w:val="Collegamentoipertestuale"/>
          </w:rPr>
          <w:t>Performance individuale</w:t>
        </w:r>
        <w:r w:rsidR="0020549E">
          <w:rPr>
            <w:webHidden/>
          </w:rPr>
          <w:tab/>
        </w:r>
        <w:r w:rsidR="0020549E">
          <w:rPr>
            <w:webHidden/>
          </w:rPr>
          <w:fldChar w:fldCharType="begin"/>
        </w:r>
        <w:r w:rsidR="0020549E">
          <w:rPr>
            <w:webHidden/>
          </w:rPr>
          <w:instrText xml:space="preserve"> PAGEREF _Toc70581320 \h </w:instrText>
        </w:r>
        <w:r w:rsidR="0020549E">
          <w:rPr>
            <w:webHidden/>
          </w:rPr>
        </w:r>
        <w:r w:rsidR="0020549E">
          <w:rPr>
            <w:webHidden/>
          </w:rPr>
          <w:fldChar w:fldCharType="separate"/>
        </w:r>
        <w:r w:rsidR="00DD72B5">
          <w:rPr>
            <w:webHidden/>
          </w:rPr>
          <w:t>6</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21" w:history="1">
        <w:r w:rsidR="0020549E" w:rsidRPr="0064644B">
          <w:rPr>
            <w:rStyle w:val="Collegamentoipertestuale"/>
          </w:rPr>
          <w:t>4.</w:t>
        </w:r>
        <w:r w:rsidR="0020549E">
          <w:rPr>
            <w:rFonts w:asciiTheme="minorHAnsi" w:eastAsiaTheme="minorEastAsia" w:hAnsiTheme="minorHAnsi" w:cstheme="minorBidi"/>
            <w:sz w:val="22"/>
            <w:szCs w:val="22"/>
            <w:lang w:val="it-IT" w:eastAsia="it-IT"/>
          </w:rPr>
          <w:tab/>
        </w:r>
        <w:r w:rsidR="0020549E" w:rsidRPr="0064644B">
          <w:rPr>
            <w:rStyle w:val="Collegamentoipertestuale"/>
          </w:rPr>
          <w:t>Processo del ciclo di attuazione della performance</w:t>
        </w:r>
        <w:r w:rsidR="0020549E">
          <w:rPr>
            <w:webHidden/>
          </w:rPr>
          <w:tab/>
        </w:r>
        <w:r w:rsidR="0020549E">
          <w:rPr>
            <w:webHidden/>
          </w:rPr>
          <w:fldChar w:fldCharType="begin"/>
        </w:r>
        <w:r w:rsidR="0020549E">
          <w:rPr>
            <w:webHidden/>
          </w:rPr>
          <w:instrText xml:space="preserve"> PAGEREF _Toc70581321 \h </w:instrText>
        </w:r>
        <w:r w:rsidR="0020549E">
          <w:rPr>
            <w:webHidden/>
          </w:rPr>
        </w:r>
        <w:r w:rsidR="0020549E">
          <w:rPr>
            <w:webHidden/>
          </w:rPr>
          <w:fldChar w:fldCharType="separate"/>
        </w:r>
        <w:r w:rsidR="00DD72B5">
          <w:rPr>
            <w:webHidden/>
          </w:rPr>
          <w:t>7</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22" w:history="1">
        <w:r w:rsidR="0020549E" w:rsidRPr="0064644B">
          <w:rPr>
            <w:rStyle w:val="Collegamentoipertestuale"/>
          </w:rPr>
          <w:t>5.</w:t>
        </w:r>
        <w:r w:rsidR="0020549E">
          <w:rPr>
            <w:rFonts w:asciiTheme="minorHAnsi" w:eastAsiaTheme="minorEastAsia" w:hAnsiTheme="minorHAnsi" w:cstheme="minorBidi"/>
            <w:sz w:val="22"/>
            <w:szCs w:val="22"/>
            <w:lang w:val="it-IT" w:eastAsia="it-IT"/>
          </w:rPr>
          <w:tab/>
        </w:r>
        <w:r w:rsidR="0020549E" w:rsidRPr="0064644B">
          <w:rPr>
            <w:rStyle w:val="Collegamentoipertestuale"/>
          </w:rPr>
          <w:t>Infrastruttura di supporto</w:t>
        </w:r>
        <w:r w:rsidR="0020549E">
          <w:rPr>
            <w:webHidden/>
          </w:rPr>
          <w:tab/>
        </w:r>
        <w:r w:rsidR="0020549E">
          <w:rPr>
            <w:webHidden/>
          </w:rPr>
          <w:fldChar w:fldCharType="begin"/>
        </w:r>
        <w:r w:rsidR="0020549E">
          <w:rPr>
            <w:webHidden/>
          </w:rPr>
          <w:instrText xml:space="preserve"> PAGEREF _Toc70581322 \h </w:instrText>
        </w:r>
        <w:r w:rsidR="0020549E">
          <w:rPr>
            <w:webHidden/>
          </w:rPr>
        </w:r>
        <w:r w:rsidR="0020549E">
          <w:rPr>
            <w:webHidden/>
          </w:rPr>
          <w:fldChar w:fldCharType="separate"/>
        </w:r>
        <w:r w:rsidR="00DD72B5">
          <w:rPr>
            <w:webHidden/>
          </w:rPr>
          <w:t>8</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23" w:history="1">
        <w:r w:rsidR="0020549E" w:rsidRPr="0064644B">
          <w:rPr>
            <w:rStyle w:val="Collegamentoipertestuale"/>
          </w:rPr>
          <w:t>6.</w:t>
        </w:r>
        <w:r w:rsidR="0020549E">
          <w:rPr>
            <w:rFonts w:asciiTheme="minorHAnsi" w:eastAsiaTheme="minorEastAsia" w:hAnsiTheme="minorHAnsi" w:cstheme="minorBidi"/>
            <w:sz w:val="22"/>
            <w:szCs w:val="22"/>
            <w:lang w:val="it-IT" w:eastAsia="it-IT"/>
          </w:rPr>
          <w:tab/>
        </w:r>
        <w:r w:rsidR="0020549E" w:rsidRPr="0064644B">
          <w:rPr>
            <w:rStyle w:val="Collegamentoipertestuale"/>
          </w:rPr>
          <w:t>Sistemi informativi e informatici a supporto dell’attuazione del Programma triennale per la trasparenza e l’integrità e per il rispetto degli obblighi di pubblicazione.</w:t>
        </w:r>
        <w:r w:rsidR="0020549E">
          <w:rPr>
            <w:webHidden/>
          </w:rPr>
          <w:tab/>
        </w:r>
        <w:r w:rsidR="0020549E">
          <w:rPr>
            <w:webHidden/>
          </w:rPr>
          <w:fldChar w:fldCharType="begin"/>
        </w:r>
        <w:r w:rsidR="0020549E">
          <w:rPr>
            <w:webHidden/>
          </w:rPr>
          <w:instrText xml:space="preserve"> PAGEREF _Toc70581323 \h </w:instrText>
        </w:r>
        <w:r w:rsidR="0020549E">
          <w:rPr>
            <w:webHidden/>
          </w:rPr>
        </w:r>
        <w:r w:rsidR="0020549E">
          <w:rPr>
            <w:webHidden/>
          </w:rPr>
          <w:fldChar w:fldCharType="separate"/>
        </w:r>
        <w:r w:rsidR="00DD72B5">
          <w:rPr>
            <w:webHidden/>
          </w:rPr>
          <w:t>9</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24" w:history="1">
        <w:r w:rsidR="0020549E" w:rsidRPr="0064644B">
          <w:rPr>
            <w:rStyle w:val="Collegamentoipertestuale"/>
          </w:rPr>
          <w:t>7.</w:t>
        </w:r>
        <w:r w:rsidR="0020549E">
          <w:rPr>
            <w:rFonts w:asciiTheme="minorHAnsi" w:eastAsiaTheme="minorEastAsia" w:hAnsiTheme="minorHAnsi" w:cstheme="minorBidi"/>
            <w:sz w:val="22"/>
            <w:szCs w:val="22"/>
            <w:lang w:val="it-IT" w:eastAsia="it-IT"/>
          </w:rPr>
          <w:tab/>
        </w:r>
        <w:r w:rsidR="0020549E" w:rsidRPr="0064644B">
          <w:rPr>
            <w:rStyle w:val="Collegamentoipertestuale"/>
          </w:rPr>
          <w:t>Definizione e gestione standard di qualità</w:t>
        </w:r>
        <w:r w:rsidR="0020549E">
          <w:rPr>
            <w:webHidden/>
          </w:rPr>
          <w:tab/>
        </w:r>
        <w:r w:rsidR="0020549E">
          <w:rPr>
            <w:webHidden/>
          </w:rPr>
          <w:fldChar w:fldCharType="begin"/>
        </w:r>
        <w:r w:rsidR="0020549E">
          <w:rPr>
            <w:webHidden/>
          </w:rPr>
          <w:instrText xml:space="preserve"> PAGEREF _Toc70581324 \h </w:instrText>
        </w:r>
        <w:r w:rsidR="0020549E">
          <w:rPr>
            <w:webHidden/>
          </w:rPr>
        </w:r>
        <w:r w:rsidR="0020549E">
          <w:rPr>
            <w:webHidden/>
          </w:rPr>
          <w:fldChar w:fldCharType="separate"/>
        </w:r>
        <w:r w:rsidR="00DD72B5">
          <w:rPr>
            <w:webHidden/>
          </w:rPr>
          <w:t>10</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25" w:history="1">
        <w:r w:rsidR="0020549E" w:rsidRPr="0064644B">
          <w:rPr>
            <w:rStyle w:val="Collegamentoipertestuale"/>
          </w:rPr>
          <w:t>8.</w:t>
        </w:r>
        <w:r w:rsidR="0020549E">
          <w:rPr>
            <w:rFonts w:asciiTheme="minorHAnsi" w:eastAsiaTheme="minorEastAsia" w:hAnsiTheme="minorHAnsi" w:cstheme="minorBidi"/>
            <w:sz w:val="22"/>
            <w:szCs w:val="22"/>
            <w:lang w:val="it-IT" w:eastAsia="it-IT"/>
          </w:rPr>
          <w:tab/>
        </w:r>
        <w:r w:rsidR="0020549E" w:rsidRPr="0064644B">
          <w:rPr>
            <w:rStyle w:val="Collegamentoipertestuale"/>
          </w:rPr>
          <w:t>Utilizzo dei risultati del Sistema di Misurazione e Valutazione</w:t>
        </w:r>
        <w:r w:rsidR="0020549E">
          <w:rPr>
            <w:webHidden/>
          </w:rPr>
          <w:tab/>
        </w:r>
        <w:r w:rsidR="0020549E">
          <w:rPr>
            <w:webHidden/>
          </w:rPr>
          <w:fldChar w:fldCharType="begin"/>
        </w:r>
        <w:r w:rsidR="0020549E">
          <w:rPr>
            <w:webHidden/>
          </w:rPr>
          <w:instrText xml:space="preserve"> PAGEREF _Toc70581325 \h </w:instrText>
        </w:r>
        <w:r w:rsidR="0020549E">
          <w:rPr>
            <w:webHidden/>
          </w:rPr>
        </w:r>
        <w:r w:rsidR="0020549E">
          <w:rPr>
            <w:webHidden/>
          </w:rPr>
          <w:fldChar w:fldCharType="separate"/>
        </w:r>
        <w:r w:rsidR="00DD72B5">
          <w:rPr>
            <w:webHidden/>
          </w:rPr>
          <w:t>12</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26" w:history="1">
        <w:r w:rsidR="0020549E" w:rsidRPr="0064644B">
          <w:rPr>
            <w:rStyle w:val="Collegamentoipertestuale"/>
          </w:rPr>
          <w:t>9.</w:t>
        </w:r>
        <w:r w:rsidR="0020549E">
          <w:rPr>
            <w:rFonts w:asciiTheme="minorHAnsi" w:eastAsiaTheme="minorEastAsia" w:hAnsiTheme="minorHAnsi" w:cstheme="minorBidi"/>
            <w:sz w:val="22"/>
            <w:szCs w:val="22"/>
            <w:lang w:val="it-IT" w:eastAsia="it-IT"/>
          </w:rPr>
          <w:tab/>
        </w:r>
        <w:r w:rsidR="0020549E" w:rsidRPr="0064644B">
          <w:rPr>
            <w:rStyle w:val="Collegamentoipertestuale"/>
          </w:rPr>
          <w:t>Descrizione delle modalità di monitoraggio dell’OIV</w:t>
        </w:r>
        <w:r w:rsidR="0020549E">
          <w:rPr>
            <w:webHidden/>
          </w:rPr>
          <w:tab/>
        </w:r>
        <w:r w:rsidR="0020549E">
          <w:rPr>
            <w:webHidden/>
          </w:rPr>
          <w:fldChar w:fldCharType="begin"/>
        </w:r>
        <w:r w:rsidR="0020549E">
          <w:rPr>
            <w:webHidden/>
          </w:rPr>
          <w:instrText xml:space="preserve"> PAGEREF _Toc70581326 \h </w:instrText>
        </w:r>
        <w:r w:rsidR="0020549E">
          <w:rPr>
            <w:webHidden/>
          </w:rPr>
        </w:r>
        <w:r w:rsidR="0020549E">
          <w:rPr>
            <w:webHidden/>
          </w:rPr>
          <w:fldChar w:fldCharType="separate"/>
        </w:r>
        <w:r w:rsidR="00DD72B5">
          <w:rPr>
            <w:webHidden/>
          </w:rPr>
          <w:t>13</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27" w:history="1">
        <w:r w:rsidR="0020549E" w:rsidRPr="0064644B">
          <w:rPr>
            <w:rStyle w:val="Collegamentoipertestuale"/>
          </w:rPr>
          <w:t>10.</w:t>
        </w:r>
        <w:r w:rsidR="0020549E">
          <w:rPr>
            <w:rFonts w:asciiTheme="minorHAnsi" w:eastAsiaTheme="minorEastAsia" w:hAnsiTheme="minorHAnsi" w:cstheme="minorBidi"/>
            <w:sz w:val="22"/>
            <w:szCs w:val="22"/>
            <w:lang w:val="it-IT" w:eastAsia="it-IT"/>
          </w:rPr>
          <w:tab/>
        </w:r>
        <w:r w:rsidR="0020549E" w:rsidRPr="0064644B">
          <w:rPr>
            <w:rStyle w:val="Collegamentoipertestuale"/>
          </w:rPr>
          <w:t>Pari opportunità</w:t>
        </w:r>
        <w:r w:rsidR="0020549E">
          <w:rPr>
            <w:webHidden/>
          </w:rPr>
          <w:tab/>
        </w:r>
        <w:r w:rsidR="0020549E">
          <w:rPr>
            <w:webHidden/>
          </w:rPr>
          <w:fldChar w:fldCharType="begin"/>
        </w:r>
        <w:r w:rsidR="0020549E">
          <w:rPr>
            <w:webHidden/>
          </w:rPr>
          <w:instrText xml:space="preserve"> PAGEREF _Toc70581327 \h </w:instrText>
        </w:r>
        <w:r w:rsidR="0020549E">
          <w:rPr>
            <w:webHidden/>
          </w:rPr>
        </w:r>
        <w:r w:rsidR="0020549E">
          <w:rPr>
            <w:webHidden/>
          </w:rPr>
          <w:fldChar w:fldCharType="separate"/>
        </w:r>
        <w:r w:rsidR="00DD72B5">
          <w:rPr>
            <w:webHidden/>
          </w:rPr>
          <w:t>14</w:t>
        </w:r>
        <w:r w:rsidR="0020549E">
          <w:rPr>
            <w:webHidden/>
          </w:rPr>
          <w:fldChar w:fldCharType="end"/>
        </w:r>
      </w:hyperlink>
    </w:p>
    <w:p w:rsidR="0020549E" w:rsidRDefault="00C573F2">
      <w:pPr>
        <w:pStyle w:val="Sommario1"/>
        <w:rPr>
          <w:rFonts w:asciiTheme="minorHAnsi" w:eastAsiaTheme="minorEastAsia" w:hAnsiTheme="minorHAnsi" w:cstheme="minorBidi"/>
          <w:sz w:val="22"/>
          <w:szCs w:val="22"/>
          <w:lang w:val="it-IT" w:eastAsia="it-IT"/>
        </w:rPr>
      </w:pPr>
      <w:hyperlink w:anchor="_Toc70581328" w:history="1">
        <w:r w:rsidR="0020549E" w:rsidRPr="0064644B">
          <w:rPr>
            <w:rStyle w:val="Collegamentoipertestuale"/>
          </w:rPr>
          <w:t>11.</w:t>
        </w:r>
        <w:r w:rsidR="0020549E">
          <w:rPr>
            <w:rFonts w:asciiTheme="minorHAnsi" w:eastAsiaTheme="minorEastAsia" w:hAnsiTheme="minorHAnsi" w:cstheme="minorBidi"/>
            <w:sz w:val="22"/>
            <w:szCs w:val="22"/>
            <w:lang w:val="it-IT" w:eastAsia="it-IT"/>
          </w:rPr>
          <w:tab/>
        </w:r>
        <w:r w:rsidR="0020549E" w:rsidRPr="0064644B">
          <w:rPr>
            <w:rStyle w:val="Collegamentoipertestuale"/>
          </w:rPr>
          <w:t>Considerazioni conclusive</w:t>
        </w:r>
        <w:r w:rsidR="0020549E">
          <w:rPr>
            <w:webHidden/>
          </w:rPr>
          <w:tab/>
        </w:r>
        <w:r w:rsidR="0020549E">
          <w:rPr>
            <w:webHidden/>
          </w:rPr>
          <w:fldChar w:fldCharType="begin"/>
        </w:r>
        <w:r w:rsidR="0020549E">
          <w:rPr>
            <w:webHidden/>
          </w:rPr>
          <w:instrText xml:space="preserve"> PAGEREF _Toc70581328 \h </w:instrText>
        </w:r>
        <w:r w:rsidR="0020549E">
          <w:rPr>
            <w:webHidden/>
          </w:rPr>
        </w:r>
        <w:r w:rsidR="0020549E">
          <w:rPr>
            <w:webHidden/>
          </w:rPr>
          <w:fldChar w:fldCharType="separate"/>
        </w:r>
        <w:r w:rsidR="00DD72B5">
          <w:rPr>
            <w:webHidden/>
          </w:rPr>
          <w:t>15</w:t>
        </w:r>
        <w:r w:rsidR="0020549E">
          <w:rPr>
            <w:webHidden/>
          </w:rPr>
          <w:fldChar w:fldCharType="end"/>
        </w:r>
      </w:hyperlink>
    </w:p>
    <w:p w:rsidR="00ED23E3" w:rsidRPr="005F4F27" w:rsidRDefault="005F4F27" w:rsidP="005F4F27">
      <w:pPr>
        <w:pStyle w:val="Titolo1"/>
        <w:numPr>
          <w:ilvl w:val="0"/>
          <w:numId w:val="1"/>
        </w:numPr>
        <w:tabs>
          <w:tab w:val="num" w:pos="432"/>
          <w:tab w:val="num" w:pos="540"/>
        </w:tabs>
        <w:ind w:left="432" w:hanging="432"/>
        <w:jc w:val="left"/>
        <w:rPr>
          <w:rFonts w:asciiTheme="minorHAnsi" w:hAnsiTheme="minorHAnsi"/>
          <w:sz w:val="24"/>
          <w:szCs w:val="24"/>
        </w:rPr>
      </w:pPr>
      <w:r w:rsidRPr="00B22991">
        <w:lastRenderedPageBreak/>
        <w:fldChar w:fldCharType="end"/>
      </w:r>
      <w:bookmarkStart w:id="1" w:name="_Toc70581318"/>
      <w:r w:rsidR="00ED23E3" w:rsidRPr="005F4F27">
        <w:rPr>
          <w:rFonts w:asciiTheme="minorHAnsi" w:hAnsiTheme="minorHAnsi"/>
          <w:sz w:val="24"/>
          <w:szCs w:val="24"/>
        </w:rPr>
        <w:t>Presentazione e premessa</w:t>
      </w:r>
      <w:bookmarkEnd w:id="1"/>
      <w:r w:rsidR="00ED23E3" w:rsidRPr="005F4F27">
        <w:rPr>
          <w:rFonts w:asciiTheme="minorHAnsi" w:hAnsiTheme="minorHAnsi"/>
          <w:sz w:val="24"/>
          <w:szCs w:val="24"/>
        </w:rPr>
        <w:t xml:space="preserve"> </w:t>
      </w:r>
    </w:p>
    <w:p w:rsidR="00ED23E3" w:rsidRDefault="00ED23E3" w:rsidP="00ED23E3">
      <w:pPr>
        <w:pStyle w:val="Default"/>
        <w:jc w:val="both"/>
        <w:rPr>
          <w:rFonts w:asciiTheme="minorHAnsi" w:hAnsiTheme="minorHAnsi"/>
          <w:sz w:val="22"/>
          <w:szCs w:val="22"/>
        </w:rPr>
      </w:pPr>
    </w:p>
    <w:p w:rsidR="00770A86" w:rsidRDefault="00ED23E3" w:rsidP="00ED23E3">
      <w:pPr>
        <w:pStyle w:val="Default"/>
        <w:jc w:val="both"/>
        <w:rPr>
          <w:rFonts w:asciiTheme="minorHAnsi" w:hAnsiTheme="minorHAnsi"/>
          <w:sz w:val="22"/>
          <w:szCs w:val="22"/>
        </w:rPr>
      </w:pPr>
      <w:r w:rsidRPr="00ED23E3">
        <w:rPr>
          <w:rFonts w:asciiTheme="minorHAnsi" w:hAnsiTheme="minorHAnsi"/>
          <w:sz w:val="22"/>
          <w:szCs w:val="22"/>
        </w:rPr>
        <w:t xml:space="preserve">La presente relazione è redatta </w:t>
      </w:r>
      <w:r w:rsidR="00770A86">
        <w:rPr>
          <w:rFonts w:asciiTheme="minorHAnsi" w:hAnsiTheme="minorHAnsi"/>
          <w:sz w:val="22"/>
          <w:szCs w:val="22"/>
        </w:rPr>
        <w:t>dall’OIV</w:t>
      </w:r>
      <w:r w:rsidR="007B3032">
        <w:rPr>
          <w:rFonts w:asciiTheme="minorHAnsi" w:hAnsiTheme="minorHAnsi"/>
          <w:sz w:val="22"/>
          <w:szCs w:val="22"/>
        </w:rPr>
        <w:t>, con il supporto della Struttura Tecnica,</w:t>
      </w:r>
      <w:r w:rsidR="00770A86">
        <w:rPr>
          <w:rFonts w:asciiTheme="minorHAnsi" w:hAnsiTheme="minorHAnsi"/>
          <w:sz w:val="22"/>
          <w:szCs w:val="22"/>
        </w:rPr>
        <w:t xml:space="preserve"> </w:t>
      </w:r>
      <w:r w:rsidRPr="00ED23E3">
        <w:rPr>
          <w:rFonts w:asciiTheme="minorHAnsi" w:hAnsiTheme="minorHAnsi"/>
          <w:sz w:val="22"/>
          <w:szCs w:val="22"/>
        </w:rPr>
        <w:t>ai sensi e in ossequio dell'art. 14, comma 4, let</w:t>
      </w:r>
      <w:r w:rsidR="00770A86">
        <w:rPr>
          <w:rFonts w:asciiTheme="minorHAnsi" w:hAnsiTheme="minorHAnsi"/>
          <w:sz w:val="22"/>
          <w:szCs w:val="22"/>
        </w:rPr>
        <w:t xml:space="preserve">tera a) del D. Lgs. n. 150/2009. </w:t>
      </w:r>
    </w:p>
    <w:p w:rsidR="00770A86" w:rsidRDefault="00770A86" w:rsidP="00ED23E3">
      <w:pPr>
        <w:pStyle w:val="Default"/>
        <w:jc w:val="both"/>
        <w:rPr>
          <w:rFonts w:asciiTheme="minorHAnsi" w:hAnsiTheme="minorHAnsi"/>
          <w:sz w:val="22"/>
          <w:szCs w:val="22"/>
        </w:rPr>
      </w:pPr>
      <w:r>
        <w:rPr>
          <w:rFonts w:asciiTheme="minorHAnsi" w:hAnsiTheme="minorHAnsi"/>
          <w:sz w:val="22"/>
          <w:szCs w:val="22"/>
        </w:rPr>
        <w:t xml:space="preserve">L’Organismo Indipendente di Valutazione </w:t>
      </w:r>
      <w:proofErr w:type="spellStart"/>
      <w:r>
        <w:rPr>
          <w:rFonts w:asciiTheme="minorHAnsi" w:hAnsiTheme="minorHAnsi"/>
          <w:sz w:val="22"/>
          <w:szCs w:val="22"/>
        </w:rPr>
        <w:t>dell’</w:t>
      </w:r>
      <w:r w:rsidR="005373A5">
        <w:rPr>
          <w:rFonts w:asciiTheme="minorHAnsi" w:hAnsiTheme="minorHAnsi"/>
          <w:sz w:val="22"/>
          <w:szCs w:val="22"/>
        </w:rPr>
        <w:t>Inrca</w:t>
      </w:r>
      <w:proofErr w:type="spellEnd"/>
      <w:r w:rsidR="005373A5">
        <w:rPr>
          <w:rFonts w:asciiTheme="minorHAnsi" w:hAnsiTheme="minorHAnsi"/>
          <w:sz w:val="22"/>
          <w:szCs w:val="22"/>
        </w:rPr>
        <w:t xml:space="preserve"> è stato istituito con DGEN 329 del 06/10/2015</w:t>
      </w:r>
      <w:r w:rsidR="004C2644">
        <w:rPr>
          <w:rFonts w:asciiTheme="minorHAnsi" w:hAnsiTheme="minorHAnsi"/>
          <w:sz w:val="22"/>
          <w:szCs w:val="22"/>
        </w:rPr>
        <w:t>. Nel corso del 2022</w:t>
      </w:r>
      <w:r w:rsidR="007B3032">
        <w:rPr>
          <w:rFonts w:asciiTheme="minorHAnsi" w:hAnsiTheme="minorHAnsi"/>
          <w:sz w:val="22"/>
          <w:szCs w:val="22"/>
        </w:rPr>
        <w:t xml:space="preserve"> vi è stata la conclusione dell’attività del precedente OIV (nominato con </w:t>
      </w:r>
      <w:proofErr w:type="spellStart"/>
      <w:r w:rsidR="004C2644">
        <w:rPr>
          <w:rFonts w:asciiTheme="minorHAnsi" w:hAnsiTheme="minorHAnsi"/>
          <w:sz w:val="22"/>
          <w:szCs w:val="22"/>
        </w:rPr>
        <w:t>Determine</w:t>
      </w:r>
      <w:proofErr w:type="spellEnd"/>
      <w:r w:rsidR="004C2644">
        <w:rPr>
          <w:rFonts w:asciiTheme="minorHAnsi" w:hAnsiTheme="minorHAnsi"/>
          <w:sz w:val="22"/>
          <w:szCs w:val="22"/>
        </w:rPr>
        <w:t xml:space="preserve"> DGEN 295, 368 e 412 / 2019</w:t>
      </w:r>
      <w:r w:rsidR="007B3032">
        <w:rPr>
          <w:rFonts w:asciiTheme="minorHAnsi" w:hAnsiTheme="minorHAnsi"/>
          <w:sz w:val="22"/>
          <w:szCs w:val="22"/>
        </w:rPr>
        <w:t xml:space="preserve">) e l’avvio delle attività del nuovo OIV nominato con le </w:t>
      </w:r>
      <w:proofErr w:type="spellStart"/>
      <w:r w:rsidR="007B3032">
        <w:rPr>
          <w:rFonts w:asciiTheme="minorHAnsi" w:hAnsiTheme="minorHAnsi"/>
          <w:sz w:val="22"/>
          <w:szCs w:val="22"/>
        </w:rPr>
        <w:t>Determine</w:t>
      </w:r>
      <w:proofErr w:type="spellEnd"/>
      <w:r w:rsidR="007B3032">
        <w:rPr>
          <w:rFonts w:asciiTheme="minorHAnsi" w:hAnsiTheme="minorHAnsi"/>
          <w:sz w:val="22"/>
          <w:szCs w:val="22"/>
        </w:rPr>
        <w:t xml:space="preserve"> DGEN </w:t>
      </w:r>
      <w:r w:rsidR="004C2644">
        <w:rPr>
          <w:rFonts w:asciiTheme="minorHAnsi" w:hAnsiTheme="minorHAnsi"/>
          <w:sz w:val="22"/>
          <w:szCs w:val="22"/>
        </w:rPr>
        <w:t>406 e</w:t>
      </w:r>
      <w:r w:rsidR="007B3032">
        <w:rPr>
          <w:rFonts w:asciiTheme="minorHAnsi" w:hAnsiTheme="minorHAnsi"/>
          <w:sz w:val="22"/>
          <w:szCs w:val="22"/>
        </w:rPr>
        <w:t xml:space="preserve"> </w:t>
      </w:r>
      <w:r w:rsidR="004C2644">
        <w:rPr>
          <w:rFonts w:asciiTheme="minorHAnsi" w:hAnsiTheme="minorHAnsi"/>
          <w:sz w:val="22"/>
          <w:szCs w:val="22"/>
        </w:rPr>
        <w:t>467/2022</w:t>
      </w:r>
      <w:r w:rsidR="007B3032">
        <w:rPr>
          <w:rFonts w:asciiTheme="minorHAnsi" w:hAnsiTheme="minorHAnsi"/>
          <w:sz w:val="22"/>
          <w:szCs w:val="22"/>
        </w:rPr>
        <w:t xml:space="preserve"> e i cui </w:t>
      </w:r>
      <w:r>
        <w:rPr>
          <w:rFonts w:asciiTheme="minorHAnsi" w:hAnsiTheme="minorHAnsi"/>
          <w:sz w:val="22"/>
          <w:szCs w:val="22"/>
        </w:rPr>
        <w:t>componenti</w:t>
      </w:r>
      <w:r w:rsidR="007B3032">
        <w:rPr>
          <w:rFonts w:asciiTheme="minorHAnsi" w:hAnsiTheme="minorHAnsi"/>
          <w:sz w:val="22"/>
          <w:szCs w:val="22"/>
        </w:rPr>
        <w:t xml:space="preserve"> sono</w:t>
      </w:r>
      <w:r>
        <w:rPr>
          <w:rFonts w:asciiTheme="minorHAnsi" w:hAnsiTheme="minorHAnsi"/>
          <w:sz w:val="22"/>
          <w:szCs w:val="22"/>
        </w:rPr>
        <w:t>:</w:t>
      </w:r>
    </w:p>
    <w:p w:rsidR="00770A86" w:rsidRDefault="007B3032" w:rsidP="00770A86">
      <w:pPr>
        <w:pStyle w:val="Default"/>
        <w:numPr>
          <w:ilvl w:val="0"/>
          <w:numId w:val="2"/>
        </w:numPr>
        <w:jc w:val="both"/>
        <w:rPr>
          <w:rFonts w:asciiTheme="minorHAnsi" w:hAnsiTheme="minorHAnsi"/>
          <w:sz w:val="22"/>
          <w:szCs w:val="22"/>
        </w:rPr>
      </w:pPr>
      <w:r>
        <w:rPr>
          <w:rFonts w:asciiTheme="minorHAnsi" w:hAnsiTheme="minorHAnsi"/>
          <w:sz w:val="22"/>
          <w:szCs w:val="22"/>
        </w:rPr>
        <w:t>Dott. Carlo Somenzi, Presidente</w:t>
      </w:r>
      <w:r w:rsidR="00770A86">
        <w:rPr>
          <w:rFonts w:asciiTheme="minorHAnsi" w:hAnsiTheme="minorHAnsi"/>
          <w:sz w:val="22"/>
          <w:szCs w:val="22"/>
        </w:rPr>
        <w:t>;</w:t>
      </w:r>
    </w:p>
    <w:p w:rsidR="00770A86" w:rsidRDefault="00770A86" w:rsidP="00770A86">
      <w:pPr>
        <w:pStyle w:val="Default"/>
        <w:numPr>
          <w:ilvl w:val="0"/>
          <w:numId w:val="2"/>
        </w:numPr>
        <w:jc w:val="both"/>
        <w:rPr>
          <w:rFonts w:asciiTheme="minorHAnsi" w:hAnsiTheme="minorHAnsi"/>
          <w:sz w:val="22"/>
          <w:szCs w:val="22"/>
        </w:rPr>
      </w:pPr>
      <w:r>
        <w:rPr>
          <w:rFonts w:asciiTheme="minorHAnsi" w:hAnsiTheme="minorHAnsi"/>
          <w:sz w:val="22"/>
          <w:szCs w:val="22"/>
        </w:rPr>
        <w:t>Dott</w:t>
      </w:r>
      <w:r w:rsidR="007B3032">
        <w:rPr>
          <w:rFonts w:asciiTheme="minorHAnsi" w:hAnsiTheme="minorHAnsi"/>
          <w:sz w:val="22"/>
          <w:szCs w:val="22"/>
        </w:rPr>
        <w:t>.</w:t>
      </w:r>
      <w:r w:rsidR="004C2644">
        <w:rPr>
          <w:rFonts w:asciiTheme="minorHAnsi" w:hAnsiTheme="minorHAnsi"/>
          <w:sz w:val="22"/>
          <w:szCs w:val="22"/>
        </w:rPr>
        <w:t>ssa Laura Oliveri</w:t>
      </w:r>
      <w:r w:rsidR="007B3032">
        <w:rPr>
          <w:rFonts w:asciiTheme="minorHAnsi" w:hAnsiTheme="minorHAnsi"/>
          <w:sz w:val="22"/>
          <w:szCs w:val="22"/>
        </w:rPr>
        <w:t>, Componente;</w:t>
      </w:r>
    </w:p>
    <w:p w:rsidR="00770A86" w:rsidRDefault="007B3032" w:rsidP="00770A86">
      <w:pPr>
        <w:pStyle w:val="Default"/>
        <w:numPr>
          <w:ilvl w:val="0"/>
          <w:numId w:val="2"/>
        </w:numPr>
        <w:jc w:val="both"/>
        <w:rPr>
          <w:rFonts w:asciiTheme="minorHAnsi" w:hAnsiTheme="minorHAnsi"/>
          <w:sz w:val="22"/>
          <w:szCs w:val="22"/>
        </w:rPr>
      </w:pPr>
      <w:r>
        <w:rPr>
          <w:rFonts w:asciiTheme="minorHAnsi" w:hAnsiTheme="minorHAnsi"/>
          <w:sz w:val="22"/>
          <w:szCs w:val="22"/>
        </w:rPr>
        <w:t>Dott. Luca Ricciotti, Componente.</w:t>
      </w:r>
    </w:p>
    <w:p w:rsidR="00770A86" w:rsidRDefault="00770A86" w:rsidP="00770A86">
      <w:pPr>
        <w:pStyle w:val="Default"/>
        <w:jc w:val="both"/>
        <w:rPr>
          <w:rFonts w:asciiTheme="minorHAnsi" w:hAnsiTheme="minorHAnsi"/>
          <w:sz w:val="22"/>
          <w:szCs w:val="22"/>
        </w:rPr>
      </w:pPr>
    </w:p>
    <w:p w:rsidR="00770A86" w:rsidRDefault="004867B0" w:rsidP="00BF1C7F">
      <w:pPr>
        <w:pStyle w:val="Default"/>
        <w:jc w:val="both"/>
        <w:rPr>
          <w:rFonts w:asciiTheme="minorHAnsi" w:hAnsiTheme="minorHAnsi"/>
          <w:sz w:val="22"/>
          <w:szCs w:val="22"/>
        </w:rPr>
      </w:pPr>
      <w:r>
        <w:rPr>
          <w:rFonts w:asciiTheme="minorHAnsi" w:hAnsiTheme="minorHAnsi"/>
          <w:sz w:val="22"/>
          <w:szCs w:val="22"/>
        </w:rPr>
        <w:t>Durante l’anno 202</w:t>
      </w:r>
      <w:r w:rsidR="004C2644">
        <w:rPr>
          <w:rFonts w:asciiTheme="minorHAnsi" w:hAnsiTheme="minorHAnsi"/>
          <w:sz w:val="22"/>
          <w:szCs w:val="22"/>
        </w:rPr>
        <w:t>2</w:t>
      </w:r>
      <w:r w:rsidR="00BF1C7F">
        <w:rPr>
          <w:rFonts w:asciiTheme="minorHAnsi" w:hAnsiTheme="minorHAnsi"/>
          <w:sz w:val="22"/>
          <w:szCs w:val="22"/>
        </w:rPr>
        <w:t xml:space="preserve"> sono stati effettuati dal</w:t>
      </w:r>
      <w:r>
        <w:rPr>
          <w:rFonts w:asciiTheme="minorHAnsi" w:hAnsiTheme="minorHAnsi"/>
          <w:sz w:val="22"/>
          <w:szCs w:val="22"/>
        </w:rPr>
        <w:t>l’</w:t>
      </w:r>
      <w:r w:rsidR="007B3032" w:rsidRPr="007B3032">
        <w:rPr>
          <w:rFonts w:asciiTheme="minorHAnsi" w:hAnsiTheme="minorHAnsi"/>
          <w:sz w:val="22"/>
          <w:szCs w:val="22"/>
        </w:rPr>
        <w:t>OI</w:t>
      </w:r>
      <w:r w:rsidR="00BF1C7F">
        <w:rPr>
          <w:rFonts w:asciiTheme="minorHAnsi" w:hAnsiTheme="minorHAnsi"/>
          <w:sz w:val="22"/>
          <w:szCs w:val="22"/>
        </w:rPr>
        <w:t xml:space="preserve">V </w:t>
      </w:r>
      <w:r>
        <w:rPr>
          <w:rFonts w:asciiTheme="minorHAnsi" w:hAnsiTheme="minorHAnsi"/>
          <w:sz w:val="22"/>
          <w:szCs w:val="22"/>
        </w:rPr>
        <w:t xml:space="preserve">dal </w:t>
      </w:r>
      <w:r w:rsidR="004C2644">
        <w:rPr>
          <w:rFonts w:asciiTheme="minorHAnsi" w:hAnsiTheme="minorHAnsi"/>
          <w:sz w:val="22"/>
          <w:szCs w:val="22"/>
        </w:rPr>
        <w:t>24</w:t>
      </w:r>
      <w:r>
        <w:rPr>
          <w:rFonts w:asciiTheme="minorHAnsi" w:hAnsiTheme="minorHAnsi"/>
          <w:sz w:val="22"/>
          <w:szCs w:val="22"/>
        </w:rPr>
        <w:t>.01.202</w:t>
      </w:r>
      <w:r w:rsidR="004C2644">
        <w:rPr>
          <w:rFonts w:asciiTheme="minorHAnsi" w:hAnsiTheme="minorHAnsi"/>
          <w:sz w:val="22"/>
          <w:szCs w:val="22"/>
        </w:rPr>
        <w:t>2</w:t>
      </w:r>
      <w:r>
        <w:rPr>
          <w:rFonts w:asciiTheme="minorHAnsi" w:hAnsiTheme="minorHAnsi"/>
          <w:sz w:val="22"/>
          <w:szCs w:val="22"/>
        </w:rPr>
        <w:t xml:space="preserve"> al </w:t>
      </w:r>
      <w:r w:rsidR="004C2644">
        <w:rPr>
          <w:rFonts w:asciiTheme="minorHAnsi" w:hAnsiTheme="minorHAnsi"/>
          <w:sz w:val="22"/>
          <w:szCs w:val="22"/>
        </w:rPr>
        <w:t>15</w:t>
      </w:r>
      <w:r>
        <w:rPr>
          <w:rFonts w:asciiTheme="minorHAnsi" w:hAnsiTheme="minorHAnsi"/>
          <w:sz w:val="22"/>
          <w:szCs w:val="22"/>
        </w:rPr>
        <w:t>.12.202</w:t>
      </w:r>
      <w:r w:rsidR="004C2644">
        <w:rPr>
          <w:rFonts w:asciiTheme="minorHAnsi" w:hAnsiTheme="minorHAnsi"/>
          <w:sz w:val="22"/>
          <w:szCs w:val="22"/>
        </w:rPr>
        <w:t>2</w:t>
      </w:r>
      <w:r w:rsidR="00BF1C7F">
        <w:rPr>
          <w:rFonts w:asciiTheme="minorHAnsi" w:hAnsiTheme="minorHAnsi"/>
          <w:sz w:val="22"/>
          <w:szCs w:val="22"/>
        </w:rPr>
        <w:t xml:space="preserve"> numero</w:t>
      </w:r>
      <w:r>
        <w:rPr>
          <w:rFonts w:asciiTheme="minorHAnsi" w:hAnsiTheme="minorHAnsi"/>
          <w:sz w:val="22"/>
          <w:szCs w:val="22"/>
        </w:rPr>
        <w:t xml:space="preserve"> 1</w:t>
      </w:r>
      <w:r w:rsidR="004C2644">
        <w:rPr>
          <w:rFonts w:asciiTheme="minorHAnsi" w:hAnsiTheme="minorHAnsi"/>
          <w:sz w:val="22"/>
          <w:szCs w:val="22"/>
        </w:rPr>
        <w:t>4</w:t>
      </w:r>
      <w:r w:rsidR="007B3032" w:rsidRPr="007B3032">
        <w:rPr>
          <w:rFonts w:asciiTheme="minorHAnsi" w:hAnsiTheme="minorHAnsi"/>
          <w:sz w:val="22"/>
          <w:szCs w:val="22"/>
        </w:rPr>
        <w:t xml:space="preserve"> sedute</w:t>
      </w:r>
      <w:r w:rsidR="00BF1C7F">
        <w:rPr>
          <w:rFonts w:asciiTheme="minorHAnsi" w:hAnsiTheme="minorHAnsi"/>
          <w:sz w:val="22"/>
          <w:szCs w:val="22"/>
        </w:rPr>
        <w:t xml:space="preserve"> </w:t>
      </w:r>
      <w:r w:rsidR="00770A86" w:rsidRPr="00121AAC">
        <w:rPr>
          <w:rFonts w:asciiTheme="minorHAnsi" w:hAnsiTheme="minorHAnsi"/>
          <w:sz w:val="22"/>
          <w:szCs w:val="22"/>
        </w:rPr>
        <w:t>come risulta dai verbali disponibili agli atti presso la</w:t>
      </w:r>
      <w:r w:rsidR="00770A86">
        <w:rPr>
          <w:rFonts w:asciiTheme="minorHAnsi" w:hAnsiTheme="minorHAnsi"/>
          <w:sz w:val="22"/>
          <w:szCs w:val="22"/>
        </w:rPr>
        <w:t xml:space="preserve"> Struttura Tecnica Permanente (STP) posta a supporto dell’OIV ai sensi della DGEN </w:t>
      </w:r>
      <w:r w:rsidR="00B53DFB">
        <w:rPr>
          <w:rFonts w:asciiTheme="minorHAnsi" w:hAnsiTheme="minorHAnsi"/>
          <w:sz w:val="22"/>
          <w:szCs w:val="22"/>
        </w:rPr>
        <w:t xml:space="preserve">329 del 06/10/2015 e </w:t>
      </w:r>
      <w:proofErr w:type="spellStart"/>
      <w:r w:rsidR="00B53DFB">
        <w:rPr>
          <w:rFonts w:asciiTheme="minorHAnsi" w:hAnsiTheme="minorHAnsi"/>
          <w:sz w:val="22"/>
          <w:szCs w:val="22"/>
        </w:rPr>
        <w:t>s.m.i.</w:t>
      </w:r>
      <w:proofErr w:type="spellEnd"/>
    </w:p>
    <w:p w:rsidR="00770A86" w:rsidRDefault="00770A86" w:rsidP="00770A86">
      <w:pPr>
        <w:pStyle w:val="Default"/>
        <w:jc w:val="both"/>
        <w:rPr>
          <w:rFonts w:asciiTheme="minorHAnsi" w:hAnsiTheme="minorHAnsi"/>
          <w:sz w:val="22"/>
          <w:szCs w:val="22"/>
        </w:rPr>
      </w:pPr>
    </w:p>
    <w:p w:rsidR="006704FA" w:rsidRPr="006704FA" w:rsidRDefault="00770A86" w:rsidP="006704FA">
      <w:pPr>
        <w:pStyle w:val="Default"/>
        <w:jc w:val="both"/>
        <w:rPr>
          <w:rFonts w:asciiTheme="minorHAnsi" w:hAnsiTheme="minorHAnsi"/>
          <w:sz w:val="22"/>
          <w:szCs w:val="22"/>
        </w:rPr>
      </w:pPr>
      <w:r>
        <w:rPr>
          <w:rFonts w:asciiTheme="minorHAnsi" w:hAnsiTheme="minorHAnsi"/>
          <w:sz w:val="22"/>
          <w:szCs w:val="22"/>
        </w:rPr>
        <w:t xml:space="preserve">Con la presente relazione l’OIV riferisce sul funzionamento </w:t>
      </w:r>
      <w:r w:rsidRPr="00770A86">
        <w:rPr>
          <w:rFonts w:asciiTheme="minorHAnsi" w:hAnsiTheme="minorHAnsi"/>
          <w:sz w:val="22"/>
          <w:szCs w:val="22"/>
        </w:rPr>
        <w:t>complessivo del sistema di valutazione, trasparenza e integrità dei controlli interni</w:t>
      </w:r>
      <w:r>
        <w:rPr>
          <w:rFonts w:asciiTheme="minorHAnsi" w:hAnsiTheme="minorHAnsi"/>
          <w:sz w:val="22"/>
          <w:szCs w:val="22"/>
        </w:rPr>
        <w:t xml:space="preserve">, nell’ambito </w:t>
      </w:r>
      <w:r w:rsidR="004867B0">
        <w:rPr>
          <w:rFonts w:asciiTheme="minorHAnsi" w:hAnsiTheme="minorHAnsi"/>
          <w:sz w:val="22"/>
          <w:szCs w:val="22"/>
        </w:rPr>
        <w:t>del ciclo della performance 202</w:t>
      </w:r>
      <w:r w:rsidR="004C2644">
        <w:rPr>
          <w:rFonts w:asciiTheme="minorHAnsi" w:hAnsiTheme="minorHAnsi"/>
          <w:sz w:val="22"/>
          <w:szCs w:val="22"/>
        </w:rPr>
        <w:t>2</w:t>
      </w:r>
      <w:r>
        <w:rPr>
          <w:rFonts w:asciiTheme="minorHAnsi" w:hAnsiTheme="minorHAnsi"/>
          <w:sz w:val="22"/>
          <w:szCs w:val="22"/>
        </w:rPr>
        <w:t>, mettendone in luce gli aspetti significativi</w:t>
      </w:r>
      <w:r w:rsidR="00BF1C7F">
        <w:rPr>
          <w:rFonts w:asciiTheme="minorHAnsi" w:hAnsiTheme="minorHAnsi"/>
          <w:sz w:val="22"/>
          <w:szCs w:val="22"/>
        </w:rPr>
        <w:t xml:space="preserve"> ma tenendo presente quanto </w:t>
      </w:r>
      <w:r w:rsidR="004867B0">
        <w:rPr>
          <w:rFonts w:asciiTheme="minorHAnsi" w:hAnsiTheme="minorHAnsi"/>
          <w:sz w:val="22"/>
          <w:szCs w:val="22"/>
        </w:rPr>
        <w:t>accaduto nel corso dell’anno in generale e nello specifico nell’ambito delle aziende sanitarie</w:t>
      </w:r>
      <w:r>
        <w:rPr>
          <w:rFonts w:asciiTheme="minorHAnsi" w:hAnsiTheme="minorHAnsi"/>
          <w:sz w:val="22"/>
          <w:szCs w:val="22"/>
        </w:rPr>
        <w:t>.</w:t>
      </w:r>
      <w:r w:rsidR="006704FA" w:rsidRPr="006704FA">
        <w:t xml:space="preserve"> </w:t>
      </w:r>
      <w:r w:rsidR="006704FA" w:rsidRPr="006704FA">
        <w:rPr>
          <w:rFonts w:asciiTheme="minorHAnsi" w:hAnsiTheme="minorHAnsi"/>
          <w:sz w:val="22"/>
          <w:szCs w:val="22"/>
        </w:rPr>
        <w:t>Le attività di verifica effettuate dall’OIV si sono svolte attraverso l’analisi dei documenti predisposti dall’Amministrazione relativamente ai processi attivati per il raggiungimento, da parte delle strutture, degli obiettivi assegnati, e attraverso l’analisi di elementi informativi desunti dal sistema di controllo di gestione che consente il monitoraggio, la verifica intermedia e finale delle attività dell’Istituto</w:t>
      </w:r>
      <w:r w:rsidR="004867B0">
        <w:rPr>
          <w:rFonts w:asciiTheme="minorHAnsi" w:hAnsiTheme="minorHAnsi"/>
          <w:sz w:val="22"/>
          <w:szCs w:val="22"/>
        </w:rPr>
        <w:t>, nelle modalità consentite dall’emergenza pande</w:t>
      </w:r>
      <w:r w:rsidR="00403EA0">
        <w:rPr>
          <w:rFonts w:asciiTheme="minorHAnsi" w:hAnsiTheme="minorHAnsi"/>
          <w:sz w:val="22"/>
          <w:szCs w:val="22"/>
        </w:rPr>
        <w:t>mica</w:t>
      </w:r>
      <w:r w:rsidR="006704FA" w:rsidRPr="006704FA">
        <w:rPr>
          <w:rFonts w:asciiTheme="minorHAnsi" w:hAnsiTheme="minorHAnsi"/>
          <w:sz w:val="22"/>
          <w:szCs w:val="22"/>
        </w:rPr>
        <w:t>.</w:t>
      </w:r>
    </w:p>
    <w:p w:rsidR="00770A86" w:rsidRDefault="003F0836" w:rsidP="00770A86">
      <w:pPr>
        <w:pStyle w:val="Default"/>
        <w:jc w:val="both"/>
        <w:rPr>
          <w:rFonts w:asciiTheme="minorHAnsi" w:hAnsiTheme="minorHAnsi"/>
          <w:sz w:val="22"/>
          <w:szCs w:val="22"/>
        </w:rPr>
      </w:pPr>
      <w:r>
        <w:rPr>
          <w:rFonts w:asciiTheme="minorHAnsi" w:hAnsiTheme="minorHAnsi"/>
          <w:sz w:val="22"/>
          <w:szCs w:val="22"/>
        </w:rPr>
        <w:t xml:space="preserve">Lo </w:t>
      </w:r>
      <w:r w:rsidR="00770A86">
        <w:rPr>
          <w:rFonts w:asciiTheme="minorHAnsi" w:hAnsiTheme="minorHAnsi"/>
          <w:sz w:val="22"/>
          <w:szCs w:val="22"/>
        </w:rPr>
        <w:t xml:space="preserve">scopo è di evidenziare i rischi e le opportunità di questo sistema al fine di presentare proposte per svilupparlo e integrarlo ulteriormente come sarà specificato nell’ultimo paragrafo della presente relazione. </w:t>
      </w:r>
    </w:p>
    <w:p w:rsidR="00730407" w:rsidRDefault="00730407" w:rsidP="00770A86">
      <w:pPr>
        <w:pStyle w:val="Default"/>
        <w:jc w:val="both"/>
        <w:rPr>
          <w:rFonts w:asciiTheme="minorHAnsi" w:hAnsiTheme="minorHAnsi"/>
          <w:sz w:val="22"/>
          <w:szCs w:val="22"/>
        </w:rPr>
      </w:pPr>
    </w:p>
    <w:p w:rsidR="00770A86" w:rsidRDefault="00730407" w:rsidP="00770A86">
      <w:pPr>
        <w:pStyle w:val="Default"/>
        <w:jc w:val="both"/>
        <w:rPr>
          <w:rFonts w:ascii="Calibri" w:hAnsi="Calibri"/>
          <w:color w:val="auto"/>
          <w:sz w:val="22"/>
          <w:szCs w:val="22"/>
        </w:rPr>
      </w:pPr>
      <w:r w:rsidRPr="00730407">
        <w:rPr>
          <w:rFonts w:ascii="Calibri" w:hAnsi="Calibri"/>
          <w:color w:val="auto"/>
          <w:sz w:val="22"/>
          <w:szCs w:val="22"/>
        </w:rPr>
        <w:t xml:space="preserve">In tema di analisi del funzionamento complessivo del sistema di valutazione, trasparenza e integrità dei controlli interni, ed in particolare in ordine alla </w:t>
      </w:r>
      <w:r w:rsidR="00403EA0">
        <w:rPr>
          <w:rFonts w:ascii="Calibri" w:hAnsi="Calibri"/>
          <w:color w:val="auto"/>
          <w:sz w:val="22"/>
          <w:szCs w:val="22"/>
        </w:rPr>
        <w:t xml:space="preserve">assegnazione e alle risultanze </w:t>
      </w:r>
      <w:r w:rsidRPr="00730407">
        <w:rPr>
          <w:rFonts w:ascii="Calibri" w:hAnsi="Calibri"/>
          <w:color w:val="auto"/>
          <w:sz w:val="22"/>
          <w:szCs w:val="22"/>
        </w:rPr>
        <w:t>degli obiettivi declinati nel budget aziendale relativo</w:t>
      </w:r>
      <w:r w:rsidR="00403EA0">
        <w:rPr>
          <w:rFonts w:ascii="Calibri" w:hAnsi="Calibri"/>
          <w:color w:val="auto"/>
          <w:sz w:val="22"/>
          <w:szCs w:val="22"/>
        </w:rPr>
        <w:t xml:space="preserve"> al ciclo della performance 202</w:t>
      </w:r>
      <w:r w:rsidR="004F0AA4">
        <w:rPr>
          <w:rFonts w:ascii="Calibri" w:hAnsi="Calibri"/>
          <w:color w:val="auto"/>
          <w:sz w:val="22"/>
          <w:szCs w:val="22"/>
        </w:rPr>
        <w:t>2</w:t>
      </w:r>
      <w:r w:rsidRPr="00730407">
        <w:rPr>
          <w:rFonts w:ascii="Calibri" w:hAnsi="Calibri"/>
          <w:color w:val="auto"/>
          <w:sz w:val="22"/>
          <w:szCs w:val="22"/>
        </w:rPr>
        <w:t xml:space="preserve">, si deve considerare </w:t>
      </w:r>
      <w:r w:rsidR="004F0AA4">
        <w:rPr>
          <w:rFonts w:ascii="Calibri" w:hAnsi="Calibri"/>
          <w:color w:val="auto"/>
          <w:sz w:val="22"/>
          <w:szCs w:val="22"/>
        </w:rPr>
        <w:t xml:space="preserve">come l’esercizio 2022 ha rappresentato l’anno di superamento della </w:t>
      </w:r>
      <w:r w:rsidRPr="00730407">
        <w:rPr>
          <w:rFonts w:ascii="Calibri" w:hAnsi="Calibri"/>
          <w:color w:val="auto"/>
          <w:sz w:val="22"/>
          <w:szCs w:val="22"/>
        </w:rPr>
        <w:t>situazione di emergenza sanitaria nazionale</w:t>
      </w:r>
      <w:r w:rsidR="004F0AA4">
        <w:rPr>
          <w:rFonts w:ascii="Calibri" w:hAnsi="Calibri"/>
          <w:color w:val="auto"/>
          <w:sz w:val="22"/>
          <w:szCs w:val="22"/>
        </w:rPr>
        <w:t xml:space="preserve"> con le</w:t>
      </w:r>
      <w:r w:rsidRPr="00730407">
        <w:rPr>
          <w:rFonts w:ascii="Calibri" w:hAnsi="Calibri"/>
          <w:color w:val="auto"/>
          <w:sz w:val="22"/>
          <w:szCs w:val="22"/>
        </w:rPr>
        <w:t xml:space="preserve"> diffic</w:t>
      </w:r>
      <w:r w:rsidR="00403EA0">
        <w:rPr>
          <w:rFonts w:ascii="Calibri" w:hAnsi="Calibri"/>
          <w:color w:val="auto"/>
          <w:sz w:val="22"/>
          <w:szCs w:val="22"/>
        </w:rPr>
        <w:t>oltà organizzative e logistiche</w:t>
      </w:r>
      <w:r w:rsidRPr="00730407">
        <w:rPr>
          <w:rFonts w:ascii="Calibri" w:hAnsi="Calibri"/>
          <w:color w:val="auto"/>
          <w:sz w:val="22"/>
          <w:szCs w:val="22"/>
        </w:rPr>
        <w:t xml:space="preserve"> </w:t>
      </w:r>
      <w:r w:rsidR="004F0AA4">
        <w:rPr>
          <w:rFonts w:ascii="Calibri" w:hAnsi="Calibri"/>
          <w:color w:val="auto"/>
          <w:sz w:val="22"/>
          <w:szCs w:val="22"/>
        </w:rPr>
        <w:t>conseguenti</w:t>
      </w:r>
      <w:r w:rsidRPr="00730407">
        <w:rPr>
          <w:rFonts w:ascii="Calibri" w:hAnsi="Calibri"/>
          <w:color w:val="auto"/>
          <w:sz w:val="22"/>
          <w:szCs w:val="22"/>
        </w:rPr>
        <w:t xml:space="preserve">. </w:t>
      </w:r>
    </w:p>
    <w:p w:rsidR="00730407" w:rsidRPr="00730407" w:rsidRDefault="00730407" w:rsidP="00770A86">
      <w:pPr>
        <w:pStyle w:val="Default"/>
        <w:jc w:val="both"/>
        <w:rPr>
          <w:rFonts w:asciiTheme="minorHAnsi" w:hAnsiTheme="minorHAnsi"/>
          <w:color w:val="auto"/>
          <w:sz w:val="22"/>
          <w:szCs w:val="22"/>
        </w:rPr>
      </w:pPr>
    </w:p>
    <w:p w:rsidR="00770A86" w:rsidRDefault="00770A86" w:rsidP="00770A86">
      <w:pPr>
        <w:pStyle w:val="Default"/>
        <w:jc w:val="both"/>
        <w:rPr>
          <w:rFonts w:asciiTheme="minorHAnsi" w:hAnsiTheme="minorHAnsi"/>
          <w:sz w:val="22"/>
          <w:szCs w:val="22"/>
        </w:rPr>
      </w:pPr>
      <w:r>
        <w:rPr>
          <w:rFonts w:asciiTheme="minorHAnsi" w:hAnsiTheme="minorHAnsi"/>
          <w:sz w:val="22"/>
          <w:szCs w:val="22"/>
        </w:rPr>
        <w:t>La struttura e i contenuti della presente relazione si rifanno a quanto previsto dalle delibere n. 4/2012 e n. 23/2013 dell’ANAC, per quanto appl</w:t>
      </w:r>
      <w:r w:rsidR="0014697C">
        <w:rPr>
          <w:rFonts w:asciiTheme="minorHAnsi" w:hAnsiTheme="minorHAnsi"/>
          <w:sz w:val="22"/>
          <w:szCs w:val="22"/>
        </w:rPr>
        <w:t>icabili alle Aziende sanitarie.</w:t>
      </w:r>
    </w:p>
    <w:p w:rsidR="00D56A19" w:rsidRDefault="0014697C" w:rsidP="0014697C">
      <w:pPr>
        <w:pStyle w:val="Default"/>
        <w:jc w:val="both"/>
        <w:rPr>
          <w:rFonts w:asciiTheme="minorHAnsi" w:hAnsiTheme="minorHAnsi"/>
          <w:sz w:val="22"/>
          <w:szCs w:val="22"/>
        </w:rPr>
      </w:pPr>
      <w:r w:rsidRPr="002C1366">
        <w:rPr>
          <w:rFonts w:asciiTheme="minorHAnsi" w:hAnsiTheme="minorHAnsi"/>
          <w:sz w:val="22"/>
          <w:szCs w:val="22"/>
        </w:rPr>
        <w:t>Costituisce oggetto di questa relazione il Piano delle Performance 20</w:t>
      </w:r>
      <w:r w:rsidR="00403EA0">
        <w:rPr>
          <w:rFonts w:asciiTheme="minorHAnsi" w:hAnsiTheme="minorHAnsi"/>
          <w:sz w:val="22"/>
          <w:szCs w:val="22"/>
        </w:rPr>
        <w:t>2</w:t>
      </w:r>
      <w:r w:rsidR="004F0AA4">
        <w:rPr>
          <w:rFonts w:asciiTheme="minorHAnsi" w:hAnsiTheme="minorHAnsi"/>
          <w:sz w:val="22"/>
          <w:szCs w:val="22"/>
        </w:rPr>
        <w:t>2</w:t>
      </w:r>
      <w:r w:rsidRPr="002C1366">
        <w:rPr>
          <w:rFonts w:asciiTheme="minorHAnsi" w:hAnsiTheme="minorHAnsi"/>
          <w:sz w:val="22"/>
          <w:szCs w:val="22"/>
        </w:rPr>
        <w:t xml:space="preserve"> approvato co</w:t>
      </w:r>
      <w:r w:rsidR="00403EA0">
        <w:rPr>
          <w:rFonts w:asciiTheme="minorHAnsi" w:hAnsiTheme="minorHAnsi"/>
          <w:sz w:val="22"/>
          <w:szCs w:val="22"/>
        </w:rPr>
        <w:t xml:space="preserve">n Determina DGEN </w:t>
      </w:r>
      <w:r w:rsidR="004F0AA4">
        <w:rPr>
          <w:rFonts w:asciiTheme="minorHAnsi" w:hAnsiTheme="minorHAnsi"/>
          <w:sz w:val="22"/>
          <w:szCs w:val="22"/>
        </w:rPr>
        <w:t>192</w:t>
      </w:r>
      <w:r w:rsidR="00403EA0">
        <w:rPr>
          <w:rFonts w:asciiTheme="minorHAnsi" w:hAnsiTheme="minorHAnsi"/>
          <w:sz w:val="22"/>
          <w:szCs w:val="22"/>
        </w:rPr>
        <w:t>/202</w:t>
      </w:r>
      <w:r w:rsidR="004F0AA4">
        <w:rPr>
          <w:rFonts w:asciiTheme="minorHAnsi" w:hAnsiTheme="minorHAnsi"/>
          <w:sz w:val="22"/>
          <w:szCs w:val="22"/>
        </w:rPr>
        <w:t>2</w:t>
      </w:r>
      <w:r w:rsidR="00D56A19">
        <w:rPr>
          <w:rFonts w:asciiTheme="minorHAnsi" w:hAnsiTheme="minorHAnsi"/>
          <w:sz w:val="22"/>
          <w:szCs w:val="22"/>
        </w:rPr>
        <w:t xml:space="preserve"> </w:t>
      </w:r>
      <w:r w:rsidR="004F0AA4">
        <w:rPr>
          <w:rFonts w:asciiTheme="minorHAnsi" w:hAnsiTheme="minorHAnsi"/>
          <w:sz w:val="22"/>
          <w:szCs w:val="22"/>
        </w:rPr>
        <w:t xml:space="preserve">e </w:t>
      </w:r>
      <w:r w:rsidR="00D56A19">
        <w:rPr>
          <w:rFonts w:asciiTheme="minorHAnsi" w:hAnsiTheme="minorHAnsi"/>
          <w:sz w:val="22"/>
          <w:szCs w:val="22"/>
        </w:rPr>
        <w:t xml:space="preserve">successivamente integrato con DGEN </w:t>
      </w:r>
      <w:r w:rsidR="004F0AA4">
        <w:rPr>
          <w:rFonts w:asciiTheme="minorHAnsi" w:hAnsiTheme="minorHAnsi"/>
          <w:sz w:val="22"/>
          <w:szCs w:val="22"/>
        </w:rPr>
        <w:t>321</w:t>
      </w:r>
      <w:r w:rsidR="00403EA0">
        <w:rPr>
          <w:rFonts w:asciiTheme="minorHAnsi" w:hAnsiTheme="minorHAnsi"/>
          <w:sz w:val="22"/>
          <w:szCs w:val="22"/>
        </w:rPr>
        <w:t>/202</w:t>
      </w:r>
      <w:r w:rsidR="004F0AA4">
        <w:rPr>
          <w:rFonts w:asciiTheme="minorHAnsi" w:hAnsiTheme="minorHAnsi"/>
          <w:sz w:val="22"/>
          <w:szCs w:val="22"/>
        </w:rPr>
        <w:t>2</w:t>
      </w:r>
      <w:r w:rsidR="00403EA0">
        <w:rPr>
          <w:rFonts w:asciiTheme="minorHAnsi" w:hAnsiTheme="minorHAnsi"/>
          <w:sz w:val="22"/>
          <w:szCs w:val="22"/>
        </w:rPr>
        <w:t xml:space="preserve">, e </w:t>
      </w:r>
      <w:r w:rsidR="00220A86">
        <w:rPr>
          <w:rFonts w:asciiTheme="minorHAnsi" w:hAnsiTheme="minorHAnsi"/>
          <w:sz w:val="22"/>
          <w:szCs w:val="22"/>
        </w:rPr>
        <w:t>i</w:t>
      </w:r>
      <w:r w:rsidR="00BF1C7F">
        <w:rPr>
          <w:rFonts w:asciiTheme="minorHAnsi" w:hAnsiTheme="minorHAnsi"/>
          <w:sz w:val="22"/>
          <w:szCs w:val="22"/>
        </w:rPr>
        <w:t>l sistema</w:t>
      </w:r>
      <w:r w:rsidR="00220A86">
        <w:rPr>
          <w:rFonts w:asciiTheme="minorHAnsi" w:hAnsiTheme="minorHAnsi"/>
          <w:sz w:val="22"/>
          <w:szCs w:val="22"/>
        </w:rPr>
        <w:t xml:space="preserve"> di misurazione e valutazione delle strutture operanti a livello aziendale </w:t>
      </w:r>
      <w:r w:rsidR="004F0AA4">
        <w:rPr>
          <w:rFonts w:asciiTheme="minorHAnsi" w:hAnsiTheme="minorHAnsi"/>
          <w:sz w:val="22"/>
          <w:szCs w:val="22"/>
        </w:rPr>
        <w:t>adottato</w:t>
      </w:r>
      <w:r w:rsidR="00B61A72">
        <w:rPr>
          <w:rFonts w:asciiTheme="minorHAnsi" w:hAnsiTheme="minorHAnsi"/>
          <w:sz w:val="22"/>
          <w:szCs w:val="22"/>
        </w:rPr>
        <w:t xml:space="preserve"> con la DGEN 21/2021</w:t>
      </w:r>
      <w:r w:rsidR="004F0AA4">
        <w:rPr>
          <w:rFonts w:asciiTheme="minorHAnsi" w:hAnsiTheme="minorHAnsi"/>
          <w:sz w:val="22"/>
          <w:szCs w:val="22"/>
        </w:rPr>
        <w:t xml:space="preserve"> e poi inserito all’interno del PIAO adottato con Determina DGEN 202/2022</w:t>
      </w:r>
      <w:r w:rsidR="00220A86">
        <w:rPr>
          <w:rFonts w:asciiTheme="minorHAnsi" w:hAnsiTheme="minorHAnsi"/>
          <w:sz w:val="22"/>
          <w:szCs w:val="22"/>
        </w:rPr>
        <w:t xml:space="preserve">. </w:t>
      </w:r>
      <w:r w:rsidR="00ED2DF5">
        <w:rPr>
          <w:rFonts w:asciiTheme="minorHAnsi" w:hAnsiTheme="minorHAnsi"/>
          <w:sz w:val="22"/>
          <w:szCs w:val="22"/>
        </w:rPr>
        <w:t xml:space="preserve">Le valutazioni relative al raggiungimento degli obiettivi 2022 non si sono ancora concluse in considerazione della mancata conclusione del bilancio d’esercizio 2022. </w:t>
      </w:r>
    </w:p>
    <w:p w:rsidR="0014697C" w:rsidRDefault="0014697C" w:rsidP="0014697C">
      <w:pPr>
        <w:pStyle w:val="Default"/>
        <w:jc w:val="both"/>
        <w:rPr>
          <w:rFonts w:asciiTheme="minorHAnsi" w:hAnsiTheme="minorHAnsi"/>
          <w:sz w:val="22"/>
          <w:szCs w:val="22"/>
        </w:rPr>
      </w:pPr>
    </w:p>
    <w:p w:rsidR="0014697C" w:rsidRDefault="00D56A19" w:rsidP="0014697C">
      <w:pPr>
        <w:pStyle w:val="Default"/>
        <w:jc w:val="both"/>
        <w:rPr>
          <w:rFonts w:asciiTheme="minorHAnsi" w:hAnsiTheme="minorHAnsi"/>
          <w:sz w:val="22"/>
          <w:szCs w:val="22"/>
        </w:rPr>
      </w:pPr>
      <w:r>
        <w:rPr>
          <w:rFonts w:asciiTheme="minorHAnsi" w:hAnsiTheme="minorHAnsi"/>
          <w:sz w:val="22"/>
          <w:szCs w:val="22"/>
        </w:rPr>
        <w:t>La presente Relazione è trasmessa a</w:t>
      </w:r>
      <w:r w:rsidR="00176EB6">
        <w:rPr>
          <w:rFonts w:asciiTheme="minorHAnsi" w:hAnsiTheme="minorHAnsi"/>
          <w:sz w:val="22"/>
          <w:szCs w:val="22"/>
        </w:rPr>
        <w:t xml:space="preserve">l Dipartimento Funzione Pubblica, Ufficio per la valutazione della Performance, al Direttore Generale </w:t>
      </w:r>
      <w:proofErr w:type="spellStart"/>
      <w:r w:rsidR="00176EB6">
        <w:rPr>
          <w:rFonts w:asciiTheme="minorHAnsi" w:hAnsiTheme="minorHAnsi"/>
          <w:sz w:val="22"/>
          <w:szCs w:val="22"/>
        </w:rPr>
        <w:t>Inrca</w:t>
      </w:r>
      <w:proofErr w:type="spellEnd"/>
      <w:r>
        <w:rPr>
          <w:rFonts w:asciiTheme="minorHAnsi" w:hAnsiTheme="minorHAnsi"/>
          <w:sz w:val="22"/>
          <w:szCs w:val="22"/>
        </w:rPr>
        <w:t xml:space="preserve"> e, inoltre, è pubblicata sul sito istituzionale, nella sezione “Amministrazione Trasparente”</w:t>
      </w:r>
      <w:r w:rsidR="00A855E9">
        <w:rPr>
          <w:rFonts w:asciiTheme="minorHAnsi" w:hAnsiTheme="minorHAnsi"/>
          <w:sz w:val="22"/>
          <w:szCs w:val="22"/>
        </w:rPr>
        <w:t>, sottosezione “Controlli e rilievi sull’amministrazione – OIV”.</w:t>
      </w:r>
    </w:p>
    <w:p w:rsidR="00D56A19" w:rsidRDefault="00D56A19" w:rsidP="0014697C">
      <w:pPr>
        <w:pStyle w:val="Default"/>
        <w:jc w:val="both"/>
        <w:rPr>
          <w:rFonts w:asciiTheme="minorHAnsi" w:hAnsiTheme="minorHAnsi"/>
          <w:sz w:val="22"/>
          <w:szCs w:val="22"/>
        </w:rPr>
      </w:pPr>
    </w:p>
    <w:p w:rsidR="00551055" w:rsidRPr="005F4F27" w:rsidRDefault="00551055" w:rsidP="00551055">
      <w:pPr>
        <w:pStyle w:val="Titolo1"/>
        <w:numPr>
          <w:ilvl w:val="0"/>
          <w:numId w:val="1"/>
        </w:numPr>
        <w:tabs>
          <w:tab w:val="num" w:pos="432"/>
          <w:tab w:val="num" w:pos="540"/>
        </w:tabs>
        <w:ind w:left="432" w:hanging="432"/>
        <w:jc w:val="left"/>
        <w:rPr>
          <w:rFonts w:asciiTheme="minorHAnsi" w:hAnsiTheme="minorHAnsi"/>
          <w:sz w:val="24"/>
          <w:szCs w:val="24"/>
        </w:rPr>
      </w:pPr>
      <w:bookmarkStart w:id="2" w:name="_Toc70581319"/>
      <w:r>
        <w:rPr>
          <w:rFonts w:asciiTheme="minorHAnsi" w:hAnsiTheme="minorHAnsi"/>
          <w:sz w:val="24"/>
          <w:szCs w:val="24"/>
        </w:rPr>
        <w:lastRenderedPageBreak/>
        <w:t>Performance organizzativa</w:t>
      </w:r>
      <w:bookmarkEnd w:id="2"/>
      <w:r w:rsidRPr="005F4F27">
        <w:rPr>
          <w:rFonts w:asciiTheme="minorHAnsi" w:hAnsiTheme="minorHAnsi"/>
          <w:sz w:val="24"/>
          <w:szCs w:val="24"/>
        </w:rPr>
        <w:t xml:space="preserve"> </w:t>
      </w:r>
    </w:p>
    <w:p w:rsidR="00BF7EB6" w:rsidRDefault="00551055" w:rsidP="002023D4">
      <w:pPr>
        <w:pStyle w:val="Default"/>
        <w:jc w:val="both"/>
        <w:rPr>
          <w:rFonts w:asciiTheme="minorHAnsi" w:hAnsiTheme="minorHAnsi"/>
          <w:sz w:val="22"/>
          <w:szCs w:val="22"/>
        </w:rPr>
      </w:pPr>
      <w:r>
        <w:rPr>
          <w:rFonts w:asciiTheme="minorHAnsi" w:hAnsiTheme="minorHAnsi"/>
          <w:sz w:val="22"/>
          <w:szCs w:val="22"/>
        </w:rPr>
        <w:t xml:space="preserve">Preliminarmente si osserva che per performance organizzativa si intende </w:t>
      </w:r>
      <w:r w:rsidR="002023D4">
        <w:rPr>
          <w:rFonts w:asciiTheme="minorHAnsi" w:hAnsiTheme="minorHAnsi"/>
          <w:sz w:val="22"/>
          <w:szCs w:val="22"/>
        </w:rPr>
        <w:t>fare riferimento a</w:t>
      </w:r>
      <w:r w:rsidR="002023D4" w:rsidRPr="002023D4">
        <w:rPr>
          <w:rFonts w:asciiTheme="minorHAnsi" w:hAnsiTheme="minorHAnsi"/>
          <w:sz w:val="22"/>
          <w:szCs w:val="22"/>
        </w:rPr>
        <w:t>i “traguardi” che la struttura/ufficio</w:t>
      </w:r>
      <w:r w:rsidR="002023D4">
        <w:rPr>
          <w:rFonts w:asciiTheme="minorHAnsi" w:hAnsiTheme="minorHAnsi"/>
          <w:sz w:val="22"/>
          <w:szCs w:val="22"/>
        </w:rPr>
        <w:t xml:space="preserve"> </w:t>
      </w:r>
      <w:r w:rsidR="002023D4" w:rsidRPr="002023D4">
        <w:rPr>
          <w:rFonts w:asciiTheme="minorHAnsi" w:hAnsiTheme="minorHAnsi"/>
          <w:sz w:val="22"/>
          <w:szCs w:val="22"/>
        </w:rPr>
        <w:t>deve raggiungere nel suo complesso e al perseguimento dei qual</w:t>
      </w:r>
      <w:r w:rsidR="002023D4">
        <w:rPr>
          <w:rFonts w:asciiTheme="minorHAnsi" w:hAnsiTheme="minorHAnsi"/>
          <w:sz w:val="22"/>
          <w:szCs w:val="22"/>
        </w:rPr>
        <w:t xml:space="preserve">i tutti (dirigenti e personale) </w:t>
      </w:r>
      <w:r w:rsidR="002023D4" w:rsidRPr="002023D4">
        <w:rPr>
          <w:rFonts w:asciiTheme="minorHAnsi" w:hAnsiTheme="minorHAnsi"/>
          <w:sz w:val="22"/>
          <w:szCs w:val="22"/>
        </w:rPr>
        <w:t>sono chiamati a contribuire</w:t>
      </w:r>
      <w:r w:rsidR="002023D4">
        <w:rPr>
          <w:rFonts w:asciiTheme="minorHAnsi" w:hAnsiTheme="minorHAnsi"/>
          <w:sz w:val="22"/>
          <w:szCs w:val="22"/>
        </w:rPr>
        <w:t>.</w:t>
      </w:r>
      <w:r w:rsidR="002023D4" w:rsidRPr="002023D4">
        <w:t xml:space="preserve"> </w:t>
      </w:r>
      <w:r w:rsidR="002023D4" w:rsidRPr="002023D4">
        <w:rPr>
          <w:rFonts w:asciiTheme="minorHAnsi" w:hAnsiTheme="minorHAnsi"/>
          <w:sz w:val="22"/>
          <w:szCs w:val="22"/>
        </w:rPr>
        <w:t>La performance organizzativa può fare riferimento all’Ente nel suo complesso, e/o</w:t>
      </w:r>
      <w:r w:rsidR="002023D4">
        <w:rPr>
          <w:rFonts w:asciiTheme="minorHAnsi" w:hAnsiTheme="minorHAnsi"/>
          <w:sz w:val="22"/>
          <w:szCs w:val="22"/>
        </w:rPr>
        <w:t xml:space="preserve"> </w:t>
      </w:r>
      <w:r w:rsidR="002023D4" w:rsidRPr="002023D4">
        <w:rPr>
          <w:rFonts w:asciiTheme="minorHAnsi" w:hAnsiTheme="minorHAnsi"/>
          <w:sz w:val="22"/>
          <w:szCs w:val="22"/>
        </w:rPr>
        <w:t>all’Unità/Struttura organizzativa, e/o al gruppo di lavoro</w:t>
      </w:r>
      <w:r w:rsidR="002023D4">
        <w:rPr>
          <w:rFonts w:asciiTheme="minorHAnsi" w:hAnsiTheme="minorHAnsi"/>
          <w:sz w:val="22"/>
          <w:szCs w:val="22"/>
        </w:rPr>
        <w:t>.</w:t>
      </w:r>
    </w:p>
    <w:p w:rsidR="00B01251" w:rsidRDefault="00B01251" w:rsidP="00ED23E3">
      <w:pPr>
        <w:pStyle w:val="Default"/>
        <w:jc w:val="both"/>
        <w:rPr>
          <w:rFonts w:asciiTheme="minorHAnsi" w:hAnsiTheme="minorHAnsi"/>
          <w:sz w:val="22"/>
          <w:szCs w:val="22"/>
        </w:rPr>
      </w:pPr>
      <w:r>
        <w:rPr>
          <w:rFonts w:asciiTheme="minorHAnsi" w:hAnsiTheme="minorHAnsi"/>
          <w:sz w:val="22"/>
          <w:szCs w:val="22"/>
        </w:rPr>
        <w:t xml:space="preserve">Ai fini di una valutazione complessiva della performance organizzativa dell’Istituto si </w:t>
      </w:r>
      <w:r w:rsidR="00B61A72">
        <w:rPr>
          <w:rFonts w:asciiTheme="minorHAnsi" w:hAnsiTheme="minorHAnsi"/>
          <w:sz w:val="22"/>
          <w:szCs w:val="22"/>
        </w:rPr>
        <w:t xml:space="preserve">può far riferimento a quanto già indicato </w:t>
      </w:r>
      <w:r w:rsidR="00ED2DF5">
        <w:rPr>
          <w:rFonts w:asciiTheme="minorHAnsi" w:hAnsiTheme="minorHAnsi"/>
          <w:sz w:val="22"/>
          <w:szCs w:val="22"/>
        </w:rPr>
        <w:t xml:space="preserve">in sede di Bilancio Preventivo Economico 2022 adottato con </w:t>
      </w:r>
      <w:r w:rsidR="00133CD6">
        <w:rPr>
          <w:rFonts w:asciiTheme="minorHAnsi" w:hAnsiTheme="minorHAnsi"/>
          <w:sz w:val="22"/>
          <w:szCs w:val="22"/>
        </w:rPr>
        <w:t xml:space="preserve">DGEN </w:t>
      </w:r>
      <w:r w:rsidR="00ED2DF5">
        <w:rPr>
          <w:rFonts w:asciiTheme="minorHAnsi" w:hAnsiTheme="minorHAnsi"/>
          <w:sz w:val="22"/>
          <w:szCs w:val="22"/>
        </w:rPr>
        <w:t>679</w:t>
      </w:r>
      <w:r w:rsidR="00133CD6">
        <w:rPr>
          <w:rFonts w:asciiTheme="minorHAnsi" w:hAnsiTheme="minorHAnsi"/>
          <w:sz w:val="22"/>
          <w:szCs w:val="22"/>
        </w:rPr>
        <w:t xml:space="preserve"> del </w:t>
      </w:r>
      <w:r w:rsidR="00ED2DF5">
        <w:rPr>
          <w:rFonts w:asciiTheme="minorHAnsi" w:hAnsiTheme="minorHAnsi"/>
          <w:sz w:val="22"/>
          <w:szCs w:val="22"/>
        </w:rPr>
        <w:t xml:space="preserve">31 dicembre </w:t>
      </w:r>
      <w:r w:rsidR="00133CD6">
        <w:rPr>
          <w:rFonts w:asciiTheme="minorHAnsi" w:hAnsiTheme="minorHAnsi"/>
          <w:sz w:val="22"/>
          <w:szCs w:val="22"/>
        </w:rPr>
        <w:t>2022</w:t>
      </w:r>
      <w:r w:rsidR="00ED2DF5">
        <w:rPr>
          <w:rFonts w:asciiTheme="minorHAnsi" w:hAnsiTheme="minorHAnsi"/>
          <w:sz w:val="22"/>
          <w:szCs w:val="22"/>
        </w:rPr>
        <w:t>, che visti i tempi di adozione rappresenta una sorta di preconsuntivo aziendale</w:t>
      </w:r>
      <w:r>
        <w:rPr>
          <w:rFonts w:asciiTheme="minorHAnsi" w:hAnsiTheme="minorHAnsi"/>
          <w:sz w:val="22"/>
          <w:szCs w:val="22"/>
        </w:rPr>
        <w:t>.</w:t>
      </w:r>
    </w:p>
    <w:p w:rsidR="00AA1CE9" w:rsidRDefault="00AA1CE9" w:rsidP="00AA1CE9">
      <w:pPr>
        <w:pStyle w:val="Default"/>
        <w:jc w:val="both"/>
        <w:rPr>
          <w:rFonts w:asciiTheme="minorHAnsi" w:hAnsiTheme="minorHAnsi"/>
          <w:sz w:val="22"/>
          <w:szCs w:val="22"/>
        </w:rPr>
      </w:pPr>
    </w:p>
    <w:p w:rsidR="00ED2DF5" w:rsidRPr="00ED2DF5" w:rsidRDefault="00ED2DF5" w:rsidP="00ED2DF5">
      <w:pPr>
        <w:pStyle w:val="Default"/>
        <w:jc w:val="both"/>
        <w:rPr>
          <w:rFonts w:asciiTheme="minorHAnsi" w:hAnsiTheme="minorHAnsi"/>
          <w:sz w:val="22"/>
          <w:szCs w:val="22"/>
        </w:rPr>
      </w:pPr>
      <w:r w:rsidRPr="00ED2DF5">
        <w:rPr>
          <w:rFonts w:asciiTheme="minorHAnsi" w:hAnsiTheme="minorHAnsi"/>
          <w:sz w:val="22"/>
          <w:szCs w:val="22"/>
        </w:rPr>
        <w:t>L'esercizio 2022 rappresenta per l'Istituto un anno che, da una parte, ha mantenuto i connotati di difficoltà del 2021, legati all’emergenza pandemica, a cui si sono sommate le difficoltà relative all’emergenza energetica e, dall’altra parte, ha visto una ripresa delle attività nella logica di una convivenza con il “</w:t>
      </w:r>
      <w:proofErr w:type="spellStart"/>
      <w:r w:rsidRPr="00ED2DF5">
        <w:rPr>
          <w:rFonts w:asciiTheme="minorHAnsi" w:hAnsiTheme="minorHAnsi"/>
          <w:sz w:val="22"/>
          <w:szCs w:val="22"/>
        </w:rPr>
        <w:t>Covid</w:t>
      </w:r>
      <w:proofErr w:type="spellEnd"/>
      <w:r w:rsidRPr="00ED2DF5">
        <w:rPr>
          <w:rFonts w:asciiTheme="minorHAnsi" w:hAnsiTheme="minorHAnsi"/>
          <w:sz w:val="22"/>
          <w:szCs w:val="22"/>
        </w:rPr>
        <w:t>”, grazie allo sviluppo ed all’ entrata a regime di percorsi già avviati negli anni precedenti (vedi radiologia interventistica) che saranno esposti successivamente in modo più dettagliato.</w:t>
      </w:r>
    </w:p>
    <w:p w:rsidR="00ED2DF5" w:rsidRPr="00ED2DF5" w:rsidRDefault="00ED2DF5" w:rsidP="00ED2DF5">
      <w:pPr>
        <w:pStyle w:val="Default"/>
        <w:jc w:val="both"/>
        <w:rPr>
          <w:rFonts w:asciiTheme="minorHAnsi" w:hAnsiTheme="minorHAnsi"/>
          <w:sz w:val="22"/>
          <w:szCs w:val="22"/>
        </w:rPr>
      </w:pPr>
      <w:r w:rsidRPr="00ED2DF5">
        <w:rPr>
          <w:rFonts w:asciiTheme="minorHAnsi" w:hAnsiTheme="minorHAnsi"/>
          <w:sz w:val="22"/>
          <w:szCs w:val="22"/>
        </w:rPr>
        <w:t>Particolarmente rilevante è stata l’attuazione, per la parte sanitaria, del nuovo assetto istituzionale che ha trovato un suo significativo momento nell’elezione dei nuovi Direttori di Dipartimento e nella determina 561/DGEN/2022 avente come oggetto la Ricognizione dell’assetto organ</w:t>
      </w:r>
      <w:r>
        <w:rPr>
          <w:rFonts w:asciiTheme="minorHAnsi" w:hAnsiTheme="minorHAnsi"/>
          <w:sz w:val="22"/>
          <w:szCs w:val="22"/>
        </w:rPr>
        <w:t>izzativo – dipartimentale dell’</w:t>
      </w:r>
      <w:r w:rsidRPr="00ED2DF5">
        <w:rPr>
          <w:rFonts w:asciiTheme="minorHAnsi" w:hAnsiTheme="minorHAnsi"/>
          <w:sz w:val="22"/>
          <w:szCs w:val="22"/>
        </w:rPr>
        <w:t>IRCCS-INRCA.</w:t>
      </w:r>
    </w:p>
    <w:p w:rsidR="00ED2DF5" w:rsidRPr="00ED2DF5" w:rsidRDefault="00ED2DF5" w:rsidP="00ED2DF5">
      <w:pPr>
        <w:pStyle w:val="Default"/>
        <w:jc w:val="both"/>
        <w:rPr>
          <w:rFonts w:asciiTheme="minorHAnsi" w:hAnsiTheme="minorHAnsi"/>
          <w:sz w:val="22"/>
          <w:szCs w:val="22"/>
        </w:rPr>
      </w:pPr>
      <w:r w:rsidRPr="00ED2DF5">
        <w:rPr>
          <w:rFonts w:asciiTheme="minorHAnsi" w:hAnsiTheme="minorHAnsi"/>
          <w:sz w:val="22"/>
          <w:szCs w:val="22"/>
        </w:rPr>
        <w:t xml:space="preserve">Sempre nel 2022 fortemente rilevante e significativo è stato il percorso di consolidamento dell’attività scientifica con </w:t>
      </w:r>
      <w:proofErr w:type="gramStart"/>
      <w:r w:rsidRPr="00ED2DF5">
        <w:rPr>
          <w:rFonts w:asciiTheme="minorHAnsi" w:hAnsiTheme="minorHAnsi"/>
          <w:sz w:val="22"/>
          <w:szCs w:val="22"/>
        </w:rPr>
        <w:t>la site</w:t>
      </w:r>
      <w:proofErr w:type="gramEnd"/>
      <w:r w:rsidRPr="00ED2DF5">
        <w:rPr>
          <w:rFonts w:asciiTheme="minorHAnsi" w:hAnsiTheme="minorHAnsi"/>
          <w:sz w:val="22"/>
          <w:szCs w:val="22"/>
        </w:rPr>
        <w:t xml:space="preserve"> </w:t>
      </w:r>
      <w:proofErr w:type="spellStart"/>
      <w:r w:rsidRPr="00ED2DF5">
        <w:rPr>
          <w:rFonts w:asciiTheme="minorHAnsi" w:hAnsiTheme="minorHAnsi"/>
          <w:sz w:val="22"/>
          <w:szCs w:val="22"/>
        </w:rPr>
        <w:t>visit</w:t>
      </w:r>
      <w:proofErr w:type="spellEnd"/>
      <w:r w:rsidRPr="00ED2DF5">
        <w:rPr>
          <w:rFonts w:asciiTheme="minorHAnsi" w:hAnsiTheme="minorHAnsi"/>
          <w:sz w:val="22"/>
          <w:szCs w:val="22"/>
        </w:rPr>
        <w:t xml:space="preserve"> avvenuta nelle prime settimane di maggio. Attualmente il percorso non ha trovato una conclusione formale per la necessità di superare alcune dinamiche regionali di natura più amministrativa che sostanziale dato il giudizio positivo della Commissione Ministeriale sulle attività caratterizzanti un IRCCS.</w:t>
      </w:r>
    </w:p>
    <w:p w:rsidR="00ED2DF5" w:rsidRPr="00ED2DF5" w:rsidRDefault="00ED2DF5" w:rsidP="00ED2DF5">
      <w:pPr>
        <w:pStyle w:val="Default"/>
        <w:jc w:val="both"/>
        <w:rPr>
          <w:rFonts w:asciiTheme="minorHAnsi" w:hAnsiTheme="minorHAnsi"/>
          <w:sz w:val="22"/>
          <w:szCs w:val="22"/>
        </w:rPr>
      </w:pPr>
      <w:proofErr w:type="gramStart"/>
      <w:r w:rsidRPr="00ED2DF5">
        <w:rPr>
          <w:rFonts w:asciiTheme="minorHAnsi" w:hAnsiTheme="minorHAnsi"/>
          <w:sz w:val="22"/>
          <w:szCs w:val="22"/>
        </w:rPr>
        <w:t>La site</w:t>
      </w:r>
      <w:proofErr w:type="gramEnd"/>
      <w:r w:rsidRPr="00ED2DF5">
        <w:rPr>
          <w:rFonts w:asciiTheme="minorHAnsi" w:hAnsiTheme="minorHAnsi"/>
          <w:sz w:val="22"/>
          <w:szCs w:val="22"/>
        </w:rPr>
        <w:t xml:space="preserve"> </w:t>
      </w:r>
      <w:proofErr w:type="spellStart"/>
      <w:r w:rsidRPr="00ED2DF5">
        <w:rPr>
          <w:rFonts w:asciiTheme="minorHAnsi" w:hAnsiTheme="minorHAnsi"/>
          <w:sz w:val="22"/>
          <w:szCs w:val="22"/>
        </w:rPr>
        <w:t>visit</w:t>
      </w:r>
      <w:proofErr w:type="spellEnd"/>
      <w:r w:rsidRPr="00ED2DF5">
        <w:rPr>
          <w:rFonts w:asciiTheme="minorHAnsi" w:hAnsiTheme="minorHAnsi"/>
          <w:sz w:val="22"/>
          <w:szCs w:val="22"/>
        </w:rPr>
        <w:t xml:space="preserve">, inoltre, è stata l’occasione per sollecitare il riavvio del percorso istituzionale con la Regione Calabria mai in realtà interrotto. L’intensa attività intercorsa nel 2022 troverà un suo auspicabile consolidarsi molto probabilmente nel 2023. Sempre con riferimento alla Regione Calabria si evidenzia l’importante accordo con l’Università della Calabria al fine di arrivare a realizzare un percorso di convenzionamento analogo a quello realizzato con l’Università Politecnica delle Marche; è stato infatti stipulato un Protocollo d’Intesa tra Università della Calabria e INRCA per la </w:t>
      </w:r>
      <w:proofErr w:type="spellStart"/>
      <w:r w:rsidRPr="00ED2DF5">
        <w:rPr>
          <w:rFonts w:asciiTheme="minorHAnsi" w:hAnsiTheme="minorHAnsi"/>
          <w:sz w:val="22"/>
          <w:szCs w:val="22"/>
        </w:rPr>
        <w:t>clinicizzazione</w:t>
      </w:r>
      <w:proofErr w:type="spellEnd"/>
      <w:r w:rsidRPr="00ED2DF5">
        <w:rPr>
          <w:rFonts w:asciiTheme="minorHAnsi" w:hAnsiTheme="minorHAnsi"/>
          <w:sz w:val="22"/>
          <w:szCs w:val="22"/>
        </w:rPr>
        <w:t xml:space="preserve"> della UOC di Geriatria e della UOSD Laboratorio Analisi del Presidio Ospedaliero INRCA di Cosenza nell’attesa di ricevere l’accordo quadro tra Università della Calabria e Regione Calabria.</w:t>
      </w:r>
    </w:p>
    <w:p w:rsidR="00ED2DF5" w:rsidRPr="00ED2DF5" w:rsidRDefault="00ED2DF5" w:rsidP="00ED2DF5">
      <w:pPr>
        <w:pStyle w:val="Default"/>
        <w:jc w:val="both"/>
        <w:rPr>
          <w:rFonts w:asciiTheme="minorHAnsi" w:hAnsiTheme="minorHAnsi"/>
          <w:sz w:val="22"/>
          <w:szCs w:val="22"/>
        </w:rPr>
      </w:pPr>
      <w:r w:rsidRPr="00ED2DF5">
        <w:rPr>
          <w:rFonts w:asciiTheme="minorHAnsi" w:hAnsiTheme="minorHAnsi"/>
          <w:sz w:val="22"/>
          <w:szCs w:val="22"/>
        </w:rPr>
        <w:t xml:space="preserve">Sempre considerando l’area scientifica si consideri l’entrata a regime del percorso dei c.d. </w:t>
      </w:r>
      <w:proofErr w:type="spellStart"/>
      <w:r w:rsidRPr="00ED2DF5">
        <w:rPr>
          <w:rFonts w:asciiTheme="minorHAnsi" w:hAnsiTheme="minorHAnsi"/>
          <w:sz w:val="22"/>
          <w:szCs w:val="22"/>
        </w:rPr>
        <w:t>piramidabili</w:t>
      </w:r>
      <w:proofErr w:type="spellEnd"/>
      <w:r w:rsidRPr="00ED2DF5">
        <w:rPr>
          <w:rFonts w:asciiTheme="minorHAnsi" w:hAnsiTheme="minorHAnsi"/>
          <w:sz w:val="22"/>
          <w:szCs w:val="22"/>
        </w:rPr>
        <w:t xml:space="preserve"> (assunzione per 5 anni + 5 di giovani ricercatori e personale di supporto della ricerca aventi specifici requisiti al fine di superare forme di precariato oramai protrattesi da troppo tempo) che ha visto la realizzazione dei primi concorsi in tal senso.</w:t>
      </w:r>
    </w:p>
    <w:p w:rsidR="00ED2DF5" w:rsidRPr="00ED2DF5" w:rsidRDefault="00ED2DF5" w:rsidP="00ED2DF5">
      <w:pPr>
        <w:pStyle w:val="Default"/>
        <w:jc w:val="both"/>
        <w:rPr>
          <w:rFonts w:asciiTheme="minorHAnsi" w:hAnsiTheme="minorHAnsi"/>
          <w:sz w:val="22"/>
          <w:szCs w:val="22"/>
        </w:rPr>
      </w:pPr>
      <w:r w:rsidRPr="00ED2DF5">
        <w:rPr>
          <w:rFonts w:asciiTheme="minorHAnsi" w:hAnsiTheme="minorHAnsi"/>
          <w:sz w:val="22"/>
          <w:szCs w:val="22"/>
        </w:rPr>
        <w:t xml:space="preserve">Ovviamente nell’anno 2022, le difficoltà legate alle dinamiche sopra citate ed all’incombenza dell’emergenza </w:t>
      </w:r>
      <w:proofErr w:type="spellStart"/>
      <w:r w:rsidRPr="00ED2DF5">
        <w:rPr>
          <w:rFonts w:asciiTheme="minorHAnsi" w:hAnsiTheme="minorHAnsi"/>
          <w:sz w:val="22"/>
          <w:szCs w:val="22"/>
        </w:rPr>
        <w:t>Covid</w:t>
      </w:r>
      <w:proofErr w:type="spellEnd"/>
      <w:r w:rsidRPr="00ED2DF5">
        <w:rPr>
          <w:rFonts w:asciiTheme="minorHAnsi" w:hAnsiTheme="minorHAnsi"/>
          <w:sz w:val="22"/>
          <w:szCs w:val="22"/>
        </w:rPr>
        <w:t xml:space="preserve"> che solo a fine anno sembra essere rientrata in una gestione quasi normale, hanno impedito il proseguimento di ulteriori rafforzamenti istituzionali quali ad esempio la prevista apertura dei 18 posti letto di sub acuti presso il Presidio di Casatenovo, o il trasferimento al </w:t>
      </w:r>
      <w:proofErr w:type="spellStart"/>
      <w:r w:rsidRPr="00ED2DF5">
        <w:rPr>
          <w:rFonts w:asciiTheme="minorHAnsi" w:hAnsiTheme="minorHAnsi"/>
          <w:sz w:val="22"/>
          <w:szCs w:val="22"/>
        </w:rPr>
        <w:t>Murri</w:t>
      </w:r>
      <w:proofErr w:type="spellEnd"/>
      <w:r w:rsidRPr="00ED2DF5">
        <w:rPr>
          <w:rFonts w:asciiTheme="minorHAnsi" w:hAnsiTheme="minorHAnsi"/>
          <w:sz w:val="22"/>
          <w:szCs w:val="22"/>
        </w:rPr>
        <w:t xml:space="preserve"> della Geriatria di Fermo.</w:t>
      </w:r>
    </w:p>
    <w:p w:rsidR="00ED2DF5" w:rsidRPr="00ED2DF5" w:rsidRDefault="00ED2DF5" w:rsidP="00ED2DF5">
      <w:pPr>
        <w:pStyle w:val="Default"/>
        <w:jc w:val="both"/>
        <w:rPr>
          <w:rFonts w:asciiTheme="minorHAnsi" w:hAnsiTheme="minorHAnsi"/>
          <w:sz w:val="22"/>
          <w:szCs w:val="22"/>
        </w:rPr>
      </w:pPr>
      <w:r w:rsidRPr="00ED2DF5">
        <w:rPr>
          <w:rFonts w:asciiTheme="minorHAnsi" w:hAnsiTheme="minorHAnsi"/>
          <w:sz w:val="22"/>
          <w:szCs w:val="22"/>
        </w:rPr>
        <w:t xml:space="preserve">Per quanto riguarda il Presidio di Casatenovo va richiamata la recente costituzione del Dipartimento interaziendale Patologie Respiratorie </w:t>
      </w:r>
      <w:proofErr w:type="spellStart"/>
      <w:r w:rsidRPr="00ED2DF5">
        <w:rPr>
          <w:rFonts w:asciiTheme="minorHAnsi" w:hAnsiTheme="minorHAnsi"/>
          <w:sz w:val="22"/>
          <w:szCs w:val="22"/>
        </w:rPr>
        <w:t>Di.P.Re</w:t>
      </w:r>
      <w:proofErr w:type="spellEnd"/>
      <w:r w:rsidRPr="00ED2DF5">
        <w:rPr>
          <w:rFonts w:asciiTheme="minorHAnsi" w:hAnsiTheme="minorHAnsi"/>
          <w:sz w:val="22"/>
          <w:szCs w:val="22"/>
        </w:rPr>
        <w:t>. costituito dalla Regione Lombardia tra l'ASST di Lecco e il presidio INRCA e che vede come capo dipartimento il Direttore dell’UOC di Pneumologia di Casatenovo - Merate. Il dipartimento interaziendale rappresenta una tappa molto</w:t>
      </w:r>
      <w:r>
        <w:rPr>
          <w:rFonts w:asciiTheme="minorHAnsi" w:hAnsiTheme="minorHAnsi"/>
          <w:sz w:val="22"/>
          <w:szCs w:val="22"/>
        </w:rPr>
        <w:t xml:space="preserve"> </w:t>
      </w:r>
      <w:r w:rsidRPr="00ED2DF5">
        <w:rPr>
          <w:rFonts w:asciiTheme="minorHAnsi" w:hAnsiTheme="minorHAnsi"/>
          <w:sz w:val="22"/>
          <w:szCs w:val="22"/>
        </w:rPr>
        <w:t>importante nel percorso di crescita e valorizzazione da parte della regione Lombardia della struttura INRCA di Casatenovo nell'ambito del sistema sanitario della Lombardia, e nella rete dei servizi della ATS.</w:t>
      </w:r>
    </w:p>
    <w:p w:rsidR="00ED2DF5" w:rsidRPr="00ED2DF5" w:rsidRDefault="00ED2DF5" w:rsidP="00ED2DF5">
      <w:pPr>
        <w:pStyle w:val="Default"/>
        <w:jc w:val="both"/>
        <w:rPr>
          <w:rFonts w:asciiTheme="minorHAnsi" w:hAnsiTheme="minorHAnsi"/>
          <w:sz w:val="22"/>
          <w:szCs w:val="22"/>
        </w:rPr>
      </w:pPr>
    </w:p>
    <w:p w:rsidR="00ED2DF5" w:rsidRPr="00ED2DF5" w:rsidRDefault="00ED2DF5" w:rsidP="00ED2DF5">
      <w:pPr>
        <w:pStyle w:val="Default"/>
        <w:jc w:val="both"/>
        <w:rPr>
          <w:rFonts w:asciiTheme="minorHAnsi" w:hAnsiTheme="minorHAnsi"/>
          <w:sz w:val="22"/>
          <w:szCs w:val="22"/>
        </w:rPr>
      </w:pPr>
      <w:r w:rsidRPr="00ED2DF5">
        <w:rPr>
          <w:rFonts w:asciiTheme="minorHAnsi" w:hAnsiTheme="minorHAnsi"/>
          <w:sz w:val="22"/>
          <w:szCs w:val="22"/>
        </w:rPr>
        <w:t>Infine si segnala nel corso del 2022 l’entrata a regime sostanziale delle attività della “Rete Aging” (Associazione non riconosciuta che comprende tredici IRCCS interessati alle tematiche legate all’invecchiamento e che già partecipano a diversi progetti ministeriali, dei quali l’Istituto è capofila). Parimenti si ricorda inoltre la partecipazione dell’INRCA nelle Reti IRCCS Neurologica e Cardiologica che rafforzano la capacità progettuale dell’Istituto.</w:t>
      </w:r>
    </w:p>
    <w:p w:rsidR="00ED2DF5" w:rsidRDefault="00ED2DF5" w:rsidP="00323B7C">
      <w:pPr>
        <w:pStyle w:val="Default"/>
        <w:jc w:val="both"/>
        <w:rPr>
          <w:rFonts w:asciiTheme="minorHAnsi" w:hAnsiTheme="minorHAnsi"/>
          <w:sz w:val="22"/>
          <w:szCs w:val="22"/>
        </w:rPr>
      </w:pPr>
    </w:p>
    <w:p w:rsidR="00323B7C" w:rsidRPr="00323B7C" w:rsidRDefault="00323B7C" w:rsidP="00323B7C">
      <w:pPr>
        <w:pStyle w:val="Default"/>
        <w:jc w:val="both"/>
        <w:rPr>
          <w:rFonts w:asciiTheme="minorHAnsi" w:hAnsiTheme="minorHAnsi"/>
          <w:sz w:val="22"/>
          <w:szCs w:val="22"/>
        </w:rPr>
      </w:pPr>
      <w:r>
        <w:rPr>
          <w:rFonts w:asciiTheme="minorHAnsi" w:hAnsiTheme="minorHAnsi"/>
          <w:sz w:val="22"/>
          <w:szCs w:val="22"/>
        </w:rPr>
        <w:t>Come già detto l</w:t>
      </w:r>
      <w:r w:rsidRPr="00323B7C">
        <w:rPr>
          <w:rFonts w:asciiTheme="minorHAnsi" w:hAnsiTheme="minorHAnsi"/>
          <w:sz w:val="22"/>
          <w:szCs w:val="22"/>
        </w:rPr>
        <w:t xml:space="preserve">a programmazione aziendale era stata avviata con l’approvazione della Determina n. </w:t>
      </w:r>
      <w:r w:rsidR="00ED2DF5">
        <w:rPr>
          <w:rFonts w:asciiTheme="minorHAnsi" w:hAnsiTheme="minorHAnsi"/>
          <w:sz w:val="22"/>
          <w:szCs w:val="22"/>
        </w:rPr>
        <w:t>192</w:t>
      </w:r>
      <w:r w:rsidRPr="00323B7C">
        <w:rPr>
          <w:rFonts w:asciiTheme="minorHAnsi" w:hAnsiTheme="minorHAnsi"/>
          <w:sz w:val="22"/>
          <w:szCs w:val="22"/>
        </w:rPr>
        <w:t>/202</w:t>
      </w:r>
      <w:r w:rsidR="0029051B">
        <w:rPr>
          <w:rFonts w:asciiTheme="minorHAnsi" w:hAnsiTheme="minorHAnsi"/>
          <w:sz w:val="22"/>
          <w:szCs w:val="22"/>
        </w:rPr>
        <w:t>2</w:t>
      </w:r>
      <w:r w:rsidRPr="00323B7C">
        <w:rPr>
          <w:rFonts w:asciiTheme="minorHAnsi" w:hAnsiTheme="minorHAnsi"/>
          <w:sz w:val="22"/>
          <w:szCs w:val="22"/>
        </w:rPr>
        <w:t>.</w:t>
      </w:r>
    </w:p>
    <w:p w:rsidR="00323B7C" w:rsidRDefault="00323B7C" w:rsidP="00323B7C">
      <w:pPr>
        <w:pStyle w:val="Default"/>
        <w:jc w:val="both"/>
        <w:rPr>
          <w:rFonts w:asciiTheme="minorHAnsi" w:hAnsiTheme="minorHAnsi"/>
          <w:sz w:val="22"/>
          <w:szCs w:val="22"/>
        </w:rPr>
      </w:pPr>
      <w:r w:rsidRPr="00323B7C">
        <w:rPr>
          <w:rFonts w:asciiTheme="minorHAnsi" w:hAnsiTheme="minorHAnsi"/>
          <w:sz w:val="22"/>
          <w:szCs w:val="22"/>
        </w:rPr>
        <w:t>L’approvazione degli obiettivi sanitari degli Enti del SSR della Regione Marche per l'anno 202</w:t>
      </w:r>
      <w:r w:rsidR="00ED2DF5">
        <w:rPr>
          <w:rFonts w:asciiTheme="minorHAnsi" w:hAnsiTheme="minorHAnsi"/>
          <w:sz w:val="22"/>
          <w:szCs w:val="22"/>
        </w:rPr>
        <w:t>2</w:t>
      </w:r>
      <w:r w:rsidRPr="00323B7C">
        <w:rPr>
          <w:rFonts w:asciiTheme="minorHAnsi" w:hAnsiTheme="minorHAnsi"/>
          <w:sz w:val="22"/>
          <w:szCs w:val="22"/>
        </w:rPr>
        <w:t xml:space="preserve"> è avvenuta con DGR n. </w:t>
      </w:r>
      <w:r w:rsidR="0029051B">
        <w:rPr>
          <w:rFonts w:asciiTheme="minorHAnsi" w:hAnsiTheme="minorHAnsi"/>
          <w:sz w:val="22"/>
          <w:szCs w:val="22"/>
        </w:rPr>
        <w:t>1283</w:t>
      </w:r>
      <w:r w:rsidRPr="00323B7C">
        <w:rPr>
          <w:rFonts w:asciiTheme="minorHAnsi" w:hAnsiTheme="minorHAnsi"/>
          <w:sz w:val="22"/>
          <w:szCs w:val="22"/>
        </w:rPr>
        <w:t xml:space="preserve"> del </w:t>
      </w:r>
      <w:r w:rsidR="0029051B">
        <w:rPr>
          <w:rFonts w:asciiTheme="minorHAnsi" w:hAnsiTheme="minorHAnsi"/>
          <w:sz w:val="22"/>
          <w:szCs w:val="22"/>
        </w:rPr>
        <w:t>10/10</w:t>
      </w:r>
      <w:r w:rsidRPr="00323B7C">
        <w:rPr>
          <w:rFonts w:asciiTheme="minorHAnsi" w:hAnsiTheme="minorHAnsi"/>
          <w:sz w:val="22"/>
          <w:szCs w:val="22"/>
        </w:rPr>
        <w:t>/202</w:t>
      </w:r>
      <w:r w:rsidR="0029051B">
        <w:rPr>
          <w:rFonts w:asciiTheme="minorHAnsi" w:hAnsiTheme="minorHAnsi"/>
          <w:sz w:val="22"/>
          <w:szCs w:val="22"/>
        </w:rPr>
        <w:t>2</w:t>
      </w:r>
      <w:r w:rsidRPr="00323B7C">
        <w:rPr>
          <w:rFonts w:asciiTheme="minorHAnsi" w:hAnsiTheme="minorHAnsi"/>
          <w:sz w:val="22"/>
          <w:szCs w:val="22"/>
        </w:rPr>
        <w:t xml:space="preserve">, </w:t>
      </w:r>
      <w:r w:rsidR="00AA1CE9">
        <w:rPr>
          <w:rFonts w:asciiTheme="minorHAnsi" w:hAnsiTheme="minorHAnsi"/>
          <w:sz w:val="22"/>
          <w:szCs w:val="22"/>
        </w:rPr>
        <w:t xml:space="preserve">sostanzialmente alla conclusione </w:t>
      </w:r>
      <w:r w:rsidR="0029051B">
        <w:rPr>
          <w:rFonts w:asciiTheme="minorHAnsi" w:hAnsiTheme="minorHAnsi"/>
          <w:sz w:val="22"/>
          <w:szCs w:val="22"/>
        </w:rPr>
        <w:t>dell’emergenza pandemica</w:t>
      </w:r>
      <w:r>
        <w:rPr>
          <w:rFonts w:asciiTheme="minorHAnsi" w:hAnsiTheme="minorHAnsi"/>
          <w:sz w:val="22"/>
          <w:szCs w:val="22"/>
        </w:rPr>
        <w:t xml:space="preserve">. </w:t>
      </w:r>
    </w:p>
    <w:p w:rsidR="00323B7C" w:rsidRDefault="00323B7C" w:rsidP="00323B7C">
      <w:pPr>
        <w:pStyle w:val="Default"/>
        <w:jc w:val="both"/>
        <w:rPr>
          <w:rFonts w:asciiTheme="minorHAnsi" w:hAnsiTheme="minorHAnsi"/>
          <w:sz w:val="22"/>
          <w:szCs w:val="22"/>
        </w:rPr>
      </w:pPr>
      <w:r>
        <w:rPr>
          <w:rFonts w:asciiTheme="minorHAnsi" w:hAnsiTheme="minorHAnsi"/>
          <w:sz w:val="22"/>
          <w:szCs w:val="22"/>
        </w:rPr>
        <w:lastRenderedPageBreak/>
        <w:t xml:space="preserve">La dinamica interna dell’Istituto </w:t>
      </w:r>
      <w:r w:rsidR="0029051B">
        <w:rPr>
          <w:rFonts w:asciiTheme="minorHAnsi" w:hAnsiTheme="minorHAnsi"/>
          <w:sz w:val="22"/>
          <w:szCs w:val="22"/>
        </w:rPr>
        <w:t>è stata condizionata dall’emergenza pandemica</w:t>
      </w:r>
      <w:r>
        <w:rPr>
          <w:rFonts w:asciiTheme="minorHAnsi" w:hAnsiTheme="minorHAnsi"/>
          <w:sz w:val="22"/>
          <w:szCs w:val="22"/>
        </w:rPr>
        <w:t xml:space="preserve"> in quanto la declinazione analitica degli obiettivi si è concretizzata </w:t>
      </w:r>
      <w:r w:rsidR="0029051B">
        <w:rPr>
          <w:rFonts w:asciiTheme="minorHAnsi" w:hAnsiTheme="minorHAnsi"/>
          <w:sz w:val="22"/>
          <w:szCs w:val="22"/>
        </w:rPr>
        <w:t xml:space="preserve">solo </w:t>
      </w:r>
      <w:r w:rsidR="00AA1CE9">
        <w:rPr>
          <w:rFonts w:asciiTheme="minorHAnsi" w:hAnsiTheme="minorHAnsi"/>
          <w:sz w:val="22"/>
          <w:szCs w:val="22"/>
        </w:rPr>
        <w:t>alla fine della c.d. seconda ondata</w:t>
      </w:r>
      <w:r w:rsidR="0029051B">
        <w:rPr>
          <w:rFonts w:asciiTheme="minorHAnsi" w:hAnsiTheme="minorHAnsi"/>
          <w:sz w:val="22"/>
          <w:szCs w:val="22"/>
        </w:rPr>
        <w:t xml:space="preserve"> </w:t>
      </w:r>
      <w:proofErr w:type="spellStart"/>
      <w:r w:rsidR="0029051B">
        <w:rPr>
          <w:rFonts w:asciiTheme="minorHAnsi" w:hAnsiTheme="minorHAnsi"/>
          <w:sz w:val="22"/>
          <w:szCs w:val="22"/>
        </w:rPr>
        <w:t>covid</w:t>
      </w:r>
      <w:proofErr w:type="spellEnd"/>
      <w:r w:rsidR="0029051B">
        <w:rPr>
          <w:rFonts w:asciiTheme="minorHAnsi" w:hAnsiTheme="minorHAnsi"/>
          <w:sz w:val="22"/>
          <w:szCs w:val="22"/>
        </w:rPr>
        <w:t>, ovvero nella primavera del 2022</w:t>
      </w:r>
      <w:r>
        <w:rPr>
          <w:rFonts w:asciiTheme="minorHAnsi" w:hAnsiTheme="minorHAnsi"/>
          <w:sz w:val="22"/>
          <w:szCs w:val="22"/>
        </w:rPr>
        <w:t xml:space="preserve">, visto </w:t>
      </w:r>
      <w:r w:rsidR="00AA1CE9">
        <w:rPr>
          <w:rFonts w:asciiTheme="minorHAnsi" w:hAnsiTheme="minorHAnsi"/>
          <w:sz w:val="22"/>
          <w:szCs w:val="22"/>
        </w:rPr>
        <w:t>la complessità della situazione</w:t>
      </w:r>
      <w:r>
        <w:rPr>
          <w:rFonts w:asciiTheme="minorHAnsi" w:hAnsiTheme="minorHAnsi"/>
          <w:sz w:val="22"/>
          <w:szCs w:val="22"/>
        </w:rPr>
        <w:t xml:space="preserve">, e </w:t>
      </w:r>
      <w:r w:rsidR="00AA1CE9">
        <w:rPr>
          <w:rFonts w:asciiTheme="minorHAnsi" w:hAnsiTheme="minorHAnsi"/>
          <w:sz w:val="22"/>
          <w:szCs w:val="22"/>
        </w:rPr>
        <w:t xml:space="preserve">ha trovato la sua conclusione con la </w:t>
      </w:r>
      <w:r>
        <w:rPr>
          <w:rFonts w:asciiTheme="minorHAnsi" w:hAnsiTheme="minorHAnsi"/>
          <w:sz w:val="22"/>
          <w:szCs w:val="22"/>
        </w:rPr>
        <w:t xml:space="preserve">già citata determina </w:t>
      </w:r>
      <w:r w:rsidR="0029051B">
        <w:rPr>
          <w:rFonts w:asciiTheme="minorHAnsi" w:hAnsiTheme="minorHAnsi"/>
          <w:sz w:val="22"/>
          <w:szCs w:val="22"/>
        </w:rPr>
        <w:t>321</w:t>
      </w:r>
      <w:r>
        <w:rPr>
          <w:rFonts w:asciiTheme="minorHAnsi" w:hAnsiTheme="minorHAnsi"/>
          <w:sz w:val="22"/>
          <w:szCs w:val="22"/>
        </w:rPr>
        <w:t>/202</w:t>
      </w:r>
      <w:r w:rsidR="0029051B">
        <w:rPr>
          <w:rFonts w:asciiTheme="minorHAnsi" w:hAnsiTheme="minorHAnsi"/>
          <w:sz w:val="22"/>
          <w:szCs w:val="22"/>
        </w:rPr>
        <w:t>2</w:t>
      </w:r>
      <w:r w:rsidR="00AA1CE9">
        <w:rPr>
          <w:rFonts w:asciiTheme="minorHAnsi" w:hAnsiTheme="minorHAnsi"/>
          <w:sz w:val="22"/>
          <w:szCs w:val="22"/>
        </w:rPr>
        <w:t xml:space="preserve"> che, sep</w:t>
      </w:r>
      <w:r w:rsidR="0029051B">
        <w:rPr>
          <w:rFonts w:asciiTheme="minorHAnsi" w:hAnsiTheme="minorHAnsi"/>
          <w:sz w:val="22"/>
          <w:szCs w:val="22"/>
        </w:rPr>
        <w:t>pur posticipata temporalmente (</w:t>
      </w:r>
      <w:proofErr w:type="gramStart"/>
      <w:r w:rsidR="0029051B">
        <w:rPr>
          <w:rFonts w:asciiTheme="minorHAnsi" w:hAnsiTheme="minorHAnsi"/>
          <w:sz w:val="22"/>
          <w:szCs w:val="22"/>
        </w:rPr>
        <w:t>1</w:t>
      </w:r>
      <w:r w:rsidR="00AA1CE9">
        <w:rPr>
          <w:rFonts w:asciiTheme="minorHAnsi" w:hAnsiTheme="minorHAnsi"/>
          <w:sz w:val="22"/>
          <w:szCs w:val="22"/>
        </w:rPr>
        <w:t xml:space="preserve"> </w:t>
      </w:r>
      <w:r w:rsidR="0029051B">
        <w:rPr>
          <w:rFonts w:asciiTheme="minorHAnsi" w:hAnsiTheme="minorHAnsi"/>
          <w:sz w:val="22"/>
          <w:szCs w:val="22"/>
        </w:rPr>
        <w:t>luglio</w:t>
      </w:r>
      <w:proofErr w:type="gramEnd"/>
      <w:r w:rsidR="0029051B">
        <w:rPr>
          <w:rFonts w:asciiTheme="minorHAnsi" w:hAnsiTheme="minorHAnsi"/>
          <w:sz w:val="22"/>
          <w:szCs w:val="22"/>
        </w:rPr>
        <w:t xml:space="preserve"> 2022</w:t>
      </w:r>
      <w:r w:rsidR="00AA1CE9">
        <w:rPr>
          <w:rFonts w:asciiTheme="minorHAnsi" w:hAnsiTheme="minorHAnsi"/>
          <w:sz w:val="22"/>
          <w:szCs w:val="22"/>
        </w:rPr>
        <w:t>) è comunque in miglioramento rispetto alla tempistica dell’anno precedente</w:t>
      </w:r>
      <w:r>
        <w:rPr>
          <w:rFonts w:asciiTheme="minorHAnsi" w:hAnsiTheme="minorHAnsi"/>
          <w:sz w:val="22"/>
          <w:szCs w:val="22"/>
        </w:rPr>
        <w:t xml:space="preserve">. </w:t>
      </w:r>
    </w:p>
    <w:p w:rsidR="00323B7C" w:rsidRPr="00B22991" w:rsidRDefault="00323B7C" w:rsidP="00757A49">
      <w:pPr>
        <w:jc w:val="both"/>
      </w:pPr>
      <w:r>
        <w:t>Va osservato che</w:t>
      </w:r>
      <w:r w:rsidR="0029051B">
        <w:t>, vista la conclusione dell’emergenza pandemica che aveva</w:t>
      </w:r>
      <w:r>
        <w:t xml:space="preserve"> stravolto le attività e i suoi riferimenti anche gestionali</w:t>
      </w:r>
      <w:r w:rsidR="0029051B">
        <w:t>,</w:t>
      </w:r>
      <w:r>
        <w:t xml:space="preserve"> l’Istituto ha deciso di </w:t>
      </w:r>
      <w:r w:rsidR="0029051B">
        <w:t>ri</w:t>
      </w:r>
      <w:r>
        <w:t>assegnare per il 202</w:t>
      </w:r>
      <w:r w:rsidR="0029051B">
        <w:t>2</w:t>
      </w:r>
      <w:r>
        <w:t xml:space="preserve"> obiettiv</w:t>
      </w:r>
      <w:r w:rsidR="00AA1CE9">
        <w:t>i</w:t>
      </w:r>
      <w:r>
        <w:t xml:space="preserve"> economic</w:t>
      </w:r>
      <w:r w:rsidR="00AA1CE9">
        <w:t>i alle UU.OO.</w:t>
      </w:r>
      <w:r>
        <w:t xml:space="preserve"> (normalmente riguardante il valore della produzione erogata e il consumo dei materiali sanitari)</w:t>
      </w:r>
      <w:r w:rsidR="0029051B">
        <w:t>, contrariamente al biennio precedente</w:t>
      </w:r>
      <w:r>
        <w:t>.</w:t>
      </w:r>
    </w:p>
    <w:p w:rsidR="00323B7C" w:rsidRPr="00B22991" w:rsidRDefault="00323B7C" w:rsidP="00757A49">
      <w:pPr>
        <w:jc w:val="both"/>
      </w:pPr>
      <w:r>
        <w:t xml:space="preserve">Come si evince dalla Relazione sulla </w:t>
      </w:r>
      <w:r w:rsidR="0029051B">
        <w:t>BPE 2022</w:t>
      </w:r>
      <w:r>
        <w:t xml:space="preserve"> si può segnalare</w:t>
      </w:r>
      <w:r w:rsidRPr="00B22991">
        <w:t xml:space="preserve"> che le principali performance 20</w:t>
      </w:r>
      <w:r>
        <w:t>2</w:t>
      </w:r>
      <w:r w:rsidR="0029051B">
        <w:t xml:space="preserve">2, che saranno valutate in maniera puntuale a livello di raggiungimento degli obiettivi per singola UO, </w:t>
      </w:r>
      <w:r w:rsidRPr="00B22991">
        <w:t>si sono caratterizzate:</w:t>
      </w:r>
    </w:p>
    <w:p w:rsidR="00AA1CE9" w:rsidRDefault="00AA1CE9" w:rsidP="00AA1CE9">
      <w:pPr>
        <w:pStyle w:val="Paragrafoelenco"/>
        <w:numPr>
          <w:ilvl w:val="0"/>
          <w:numId w:val="23"/>
        </w:numPr>
        <w:ind w:left="720"/>
        <w:contextualSpacing/>
        <w:jc w:val="both"/>
      </w:pPr>
      <w:r>
        <w:t>Nel perdurare</w:t>
      </w:r>
      <w:r w:rsidR="0029051B">
        <w:t>, nella prima parte dell’esercizio,</w:t>
      </w:r>
      <w:r>
        <w:t xml:space="preserve"> della positiva risposta all’emergenza pandemica da parte dell’Istituto che ha visto la necessità per lo stesso di ripensare completamente i suoi modelli organizzativi consentendogli di fornire assistenza adeguata</w:t>
      </w:r>
      <w:r w:rsidR="0029051B">
        <w:t>. I</w:t>
      </w:r>
      <w:r>
        <w:t>noltre l’Istituto ha partecipato adeguatamente anche alla campagna vaccinale regionale;</w:t>
      </w:r>
    </w:p>
    <w:p w:rsidR="00AA1CE9" w:rsidRDefault="00AA1CE9" w:rsidP="00AA1CE9">
      <w:pPr>
        <w:pStyle w:val="Paragrafoelenco"/>
        <w:numPr>
          <w:ilvl w:val="0"/>
          <w:numId w:val="23"/>
        </w:numPr>
        <w:ind w:left="720"/>
        <w:contextualSpacing/>
        <w:jc w:val="both"/>
      </w:pPr>
      <w:r>
        <w:t xml:space="preserve">Nel contribuire ad impostare percorsi di gestione strutturata dell’emergenza pandemica attraverso l’istituzione nelle Marche e in Lombardia di ambulatori follow up </w:t>
      </w:r>
      <w:proofErr w:type="spellStart"/>
      <w:r>
        <w:t>Covid</w:t>
      </w:r>
      <w:proofErr w:type="spellEnd"/>
      <w:r>
        <w:t xml:space="preserve">, l’impostazione di percorsi trasversali a più UUOO per la riabilitazione dei pazienti </w:t>
      </w:r>
      <w:proofErr w:type="spellStart"/>
      <w:r>
        <w:t>Covid</w:t>
      </w:r>
      <w:proofErr w:type="spellEnd"/>
      <w:r>
        <w:t xml:space="preserve"> e il trattamento comune degli stessi;</w:t>
      </w:r>
    </w:p>
    <w:p w:rsidR="00AA1CE9" w:rsidRDefault="00AA1CE9" w:rsidP="00AA1CE9">
      <w:pPr>
        <w:pStyle w:val="Paragrafoelenco"/>
        <w:numPr>
          <w:ilvl w:val="0"/>
          <w:numId w:val="23"/>
        </w:numPr>
        <w:ind w:left="720"/>
        <w:contextualSpacing/>
        <w:jc w:val="both"/>
      </w:pPr>
      <w:r>
        <w:t>nel positivo mantenimento dell’area ricerca soprattutto nella logica della capacità competitiva dell’Istituto sia con l’ottenimento di ricerche finalizzate che una sostanziale stabilità nei punti di IFN ottenuti;</w:t>
      </w:r>
    </w:p>
    <w:p w:rsidR="00AA1CE9" w:rsidRDefault="00AA1CE9" w:rsidP="00AA1CE9">
      <w:pPr>
        <w:pStyle w:val="Paragrafoelenco"/>
        <w:numPr>
          <w:ilvl w:val="0"/>
          <w:numId w:val="23"/>
        </w:numPr>
        <w:ind w:left="720"/>
        <w:contextualSpacing/>
        <w:jc w:val="both"/>
      </w:pPr>
      <w:r>
        <w:t>nel rafforzamento della politica della gestione del rischio aziendale attraverso la rivisitazione e l’aggiornamento dell’adattamento alla dimensione aziendale di tutte le raccomandazioni ministeriali</w:t>
      </w:r>
      <w:r w:rsidR="0029051B">
        <w:t xml:space="preserve"> e con l’introduzione di PDTA</w:t>
      </w:r>
      <w:r>
        <w:t>;</w:t>
      </w:r>
    </w:p>
    <w:p w:rsidR="00AA1CE9" w:rsidRDefault="00AA1CE9" w:rsidP="00AA1CE9">
      <w:pPr>
        <w:pStyle w:val="Paragrafoelenco"/>
        <w:numPr>
          <w:ilvl w:val="0"/>
          <w:numId w:val="23"/>
        </w:numPr>
        <w:ind w:left="720"/>
        <w:contextualSpacing/>
        <w:jc w:val="both"/>
      </w:pPr>
      <w:r>
        <w:t>nel rafforzamento dei percorsi di dipartimentalizzazione aziendale attraverso l’integrazione delle attività delle diverse aree del comparto socio assistenziale;</w:t>
      </w:r>
    </w:p>
    <w:p w:rsidR="00AA1CE9" w:rsidRDefault="00AA1CE9" w:rsidP="00AA1CE9">
      <w:pPr>
        <w:pStyle w:val="Paragrafoelenco"/>
        <w:numPr>
          <w:ilvl w:val="0"/>
          <w:numId w:val="23"/>
        </w:numPr>
        <w:ind w:left="720"/>
        <w:contextualSpacing/>
        <w:jc w:val="both"/>
      </w:pPr>
      <w:r>
        <w:t>nel consolidamento della qualificazione aziendale attraverso il positivo superamento del percorso di certificazione aziendale</w:t>
      </w:r>
      <w:r>
        <w:rPr>
          <w:rFonts w:eastAsia="Calibri" w:cs="Arial"/>
        </w:rPr>
        <w:t xml:space="preserve">. </w:t>
      </w:r>
    </w:p>
    <w:p w:rsidR="00AA1CE9" w:rsidRDefault="00AA1CE9" w:rsidP="00AA1CE9"/>
    <w:p w:rsidR="00AE2DCC" w:rsidRDefault="0029051B" w:rsidP="00ED23E3">
      <w:pPr>
        <w:pStyle w:val="Default"/>
        <w:jc w:val="both"/>
        <w:rPr>
          <w:rFonts w:asciiTheme="minorHAnsi" w:hAnsiTheme="minorHAnsi"/>
          <w:sz w:val="22"/>
          <w:szCs w:val="22"/>
        </w:rPr>
      </w:pPr>
      <w:r>
        <w:rPr>
          <w:rFonts w:asciiTheme="minorHAnsi" w:hAnsiTheme="minorHAnsi"/>
          <w:sz w:val="22"/>
          <w:szCs w:val="22"/>
        </w:rPr>
        <w:t>La coda dell’</w:t>
      </w:r>
      <w:r w:rsidR="00757A49">
        <w:rPr>
          <w:rFonts w:asciiTheme="minorHAnsi" w:hAnsiTheme="minorHAnsi"/>
          <w:sz w:val="22"/>
          <w:szCs w:val="22"/>
        </w:rPr>
        <w:t>emergenza pandemica ha</w:t>
      </w:r>
      <w:r>
        <w:rPr>
          <w:rFonts w:asciiTheme="minorHAnsi" w:hAnsiTheme="minorHAnsi"/>
          <w:sz w:val="22"/>
          <w:szCs w:val="22"/>
        </w:rPr>
        <w:t>,</w:t>
      </w:r>
      <w:r w:rsidR="00757A49">
        <w:rPr>
          <w:rFonts w:asciiTheme="minorHAnsi" w:hAnsiTheme="minorHAnsi"/>
          <w:sz w:val="22"/>
          <w:szCs w:val="22"/>
        </w:rPr>
        <w:t xml:space="preserve"> </w:t>
      </w:r>
      <w:r>
        <w:rPr>
          <w:rFonts w:asciiTheme="minorHAnsi" w:hAnsiTheme="minorHAnsi"/>
          <w:sz w:val="22"/>
          <w:szCs w:val="22"/>
        </w:rPr>
        <w:t>in parte,</w:t>
      </w:r>
      <w:r w:rsidR="00757A49">
        <w:rPr>
          <w:rFonts w:asciiTheme="minorHAnsi" w:hAnsiTheme="minorHAnsi"/>
          <w:sz w:val="22"/>
          <w:szCs w:val="22"/>
        </w:rPr>
        <w:t xml:space="preserve"> condizionato anche le attività di</w:t>
      </w:r>
      <w:r w:rsidR="00AE2DCC">
        <w:rPr>
          <w:rFonts w:asciiTheme="minorHAnsi" w:hAnsiTheme="minorHAnsi"/>
          <w:sz w:val="22"/>
          <w:szCs w:val="22"/>
        </w:rPr>
        <w:t xml:space="preserve"> monitoraggi</w:t>
      </w:r>
      <w:r w:rsidR="00757A49">
        <w:rPr>
          <w:rFonts w:asciiTheme="minorHAnsi" w:hAnsiTheme="minorHAnsi"/>
          <w:sz w:val="22"/>
          <w:szCs w:val="22"/>
        </w:rPr>
        <w:t>o</w:t>
      </w:r>
      <w:r w:rsidR="00AE2DCC">
        <w:rPr>
          <w:rFonts w:asciiTheme="minorHAnsi" w:hAnsiTheme="minorHAnsi"/>
          <w:sz w:val="22"/>
          <w:szCs w:val="22"/>
        </w:rPr>
        <w:t xml:space="preserve"> intermedi</w:t>
      </w:r>
      <w:r w:rsidR="00757A49">
        <w:rPr>
          <w:rFonts w:asciiTheme="minorHAnsi" w:hAnsiTheme="minorHAnsi"/>
          <w:sz w:val="22"/>
          <w:szCs w:val="22"/>
        </w:rPr>
        <w:t>e</w:t>
      </w:r>
      <w:r w:rsidR="00AE2DCC">
        <w:rPr>
          <w:rFonts w:asciiTheme="minorHAnsi" w:hAnsiTheme="minorHAnsi"/>
          <w:sz w:val="22"/>
          <w:szCs w:val="22"/>
        </w:rPr>
        <w:t xml:space="preserve"> mensili e trimestrali </w:t>
      </w:r>
      <w:r w:rsidR="00757A49">
        <w:rPr>
          <w:rFonts w:asciiTheme="minorHAnsi" w:hAnsiTheme="minorHAnsi"/>
          <w:sz w:val="22"/>
          <w:szCs w:val="22"/>
        </w:rPr>
        <w:t xml:space="preserve">che si sono concentrate più su aspetti </w:t>
      </w:r>
      <w:r>
        <w:rPr>
          <w:rFonts w:asciiTheme="minorHAnsi" w:hAnsiTheme="minorHAnsi"/>
          <w:sz w:val="22"/>
          <w:szCs w:val="22"/>
        </w:rPr>
        <w:t xml:space="preserve">macro, </w:t>
      </w:r>
      <w:r w:rsidR="00757A49">
        <w:rPr>
          <w:rFonts w:asciiTheme="minorHAnsi" w:hAnsiTheme="minorHAnsi"/>
          <w:sz w:val="22"/>
          <w:szCs w:val="22"/>
        </w:rPr>
        <w:t xml:space="preserve">piuttosto che su percorsi gestionali consolidati come le reportistiche </w:t>
      </w:r>
      <w:r w:rsidR="00AE2DCC">
        <w:rPr>
          <w:rFonts w:asciiTheme="minorHAnsi" w:hAnsiTheme="minorHAnsi"/>
          <w:sz w:val="22"/>
          <w:szCs w:val="22"/>
        </w:rPr>
        <w:t xml:space="preserve">dell’UO Controllo di Gestione </w:t>
      </w:r>
      <w:r w:rsidR="00757A49">
        <w:rPr>
          <w:rFonts w:asciiTheme="minorHAnsi" w:hAnsiTheme="minorHAnsi"/>
          <w:sz w:val="22"/>
          <w:szCs w:val="22"/>
        </w:rPr>
        <w:t>tipicamente messe</w:t>
      </w:r>
      <w:r w:rsidR="00AE2DCC">
        <w:rPr>
          <w:rFonts w:asciiTheme="minorHAnsi" w:hAnsiTheme="minorHAnsi"/>
          <w:sz w:val="22"/>
          <w:szCs w:val="22"/>
        </w:rPr>
        <w:t xml:space="preserve"> a disposizione della Direzione e delle UO titolari di Budget che nel sistema </w:t>
      </w:r>
      <w:proofErr w:type="spellStart"/>
      <w:r w:rsidR="00AE2DCC">
        <w:rPr>
          <w:rFonts w:asciiTheme="minorHAnsi" w:hAnsiTheme="minorHAnsi"/>
          <w:sz w:val="22"/>
          <w:szCs w:val="22"/>
        </w:rPr>
        <w:t>Inrca</w:t>
      </w:r>
      <w:proofErr w:type="spellEnd"/>
      <w:r w:rsidR="00AE2DCC">
        <w:rPr>
          <w:rFonts w:asciiTheme="minorHAnsi" w:hAnsiTheme="minorHAnsi"/>
          <w:sz w:val="22"/>
          <w:szCs w:val="22"/>
        </w:rPr>
        <w:t xml:space="preserve"> coincidono con le Unità Operative Complesse e con le Unità Operative Semplici Dipartimentali</w:t>
      </w:r>
      <w:r w:rsidR="00061FDB">
        <w:rPr>
          <w:rFonts w:asciiTheme="minorHAnsi" w:hAnsiTheme="minorHAnsi"/>
          <w:sz w:val="22"/>
          <w:szCs w:val="22"/>
        </w:rPr>
        <w:t>.</w:t>
      </w:r>
      <w:r w:rsidR="00EC4D64">
        <w:rPr>
          <w:rFonts w:asciiTheme="minorHAnsi" w:hAnsiTheme="minorHAnsi"/>
          <w:sz w:val="22"/>
          <w:szCs w:val="22"/>
        </w:rPr>
        <w:t xml:space="preserve"> </w:t>
      </w:r>
      <w:r w:rsidR="00AE2DCC">
        <w:rPr>
          <w:rFonts w:asciiTheme="minorHAnsi" w:hAnsiTheme="minorHAnsi"/>
          <w:sz w:val="22"/>
          <w:szCs w:val="22"/>
        </w:rPr>
        <w:t xml:space="preserve"> </w:t>
      </w:r>
    </w:p>
    <w:p w:rsidR="00F1157D" w:rsidRDefault="00757A49" w:rsidP="00F1157D">
      <w:pPr>
        <w:pStyle w:val="Default"/>
        <w:jc w:val="both"/>
        <w:rPr>
          <w:rFonts w:asciiTheme="minorHAnsi" w:hAnsiTheme="minorHAnsi"/>
          <w:sz w:val="22"/>
          <w:szCs w:val="22"/>
        </w:rPr>
      </w:pPr>
      <w:r>
        <w:rPr>
          <w:rFonts w:asciiTheme="minorHAnsi" w:hAnsiTheme="minorHAnsi"/>
          <w:sz w:val="22"/>
          <w:szCs w:val="22"/>
        </w:rPr>
        <w:t>Nel corso del 202</w:t>
      </w:r>
      <w:r w:rsidR="0029051B">
        <w:rPr>
          <w:rFonts w:asciiTheme="minorHAnsi" w:hAnsiTheme="minorHAnsi"/>
          <w:sz w:val="22"/>
          <w:szCs w:val="22"/>
        </w:rPr>
        <w:t>2</w:t>
      </w:r>
      <w:r w:rsidR="00EC4D64">
        <w:rPr>
          <w:rFonts w:asciiTheme="minorHAnsi" w:hAnsiTheme="minorHAnsi"/>
          <w:sz w:val="22"/>
          <w:szCs w:val="22"/>
        </w:rPr>
        <w:t xml:space="preserve"> </w:t>
      </w:r>
      <w:r w:rsidR="00AE2DCC">
        <w:rPr>
          <w:rFonts w:asciiTheme="minorHAnsi" w:hAnsiTheme="minorHAnsi"/>
          <w:sz w:val="22"/>
          <w:szCs w:val="22"/>
        </w:rPr>
        <w:t>è stato utilizzato lo strumento della revisione del Budget previsto nell’ambito del</w:t>
      </w:r>
      <w:r w:rsidR="00AA70E9">
        <w:rPr>
          <w:rFonts w:asciiTheme="minorHAnsi" w:hAnsiTheme="minorHAnsi"/>
          <w:sz w:val="22"/>
          <w:szCs w:val="22"/>
        </w:rPr>
        <w:t>lo SMIVAP.</w:t>
      </w:r>
      <w:r w:rsidR="00AE2DCC">
        <w:rPr>
          <w:rFonts w:asciiTheme="minorHAnsi" w:hAnsiTheme="minorHAnsi"/>
          <w:sz w:val="22"/>
          <w:szCs w:val="22"/>
        </w:rPr>
        <w:t xml:space="preserve"> </w:t>
      </w:r>
    </w:p>
    <w:p w:rsidR="00425E22" w:rsidRDefault="00425E22" w:rsidP="001977A3">
      <w:pPr>
        <w:pStyle w:val="Default"/>
        <w:jc w:val="both"/>
        <w:rPr>
          <w:rFonts w:asciiTheme="minorHAnsi" w:hAnsiTheme="minorHAnsi"/>
          <w:sz w:val="22"/>
          <w:szCs w:val="22"/>
        </w:rPr>
      </w:pPr>
      <w:r>
        <w:rPr>
          <w:rFonts w:asciiTheme="minorHAnsi" w:hAnsiTheme="minorHAnsi"/>
          <w:sz w:val="22"/>
          <w:szCs w:val="22"/>
        </w:rPr>
        <w:t xml:space="preserve">Un ulteriore strumento della performance organizzativa utilizzato in ambito INRCA è costituito dai progetti direzionali </w:t>
      </w:r>
      <w:r w:rsidR="00BF7EB6">
        <w:rPr>
          <w:rFonts w:asciiTheme="minorHAnsi" w:hAnsiTheme="minorHAnsi"/>
          <w:sz w:val="22"/>
          <w:szCs w:val="22"/>
        </w:rPr>
        <w:t xml:space="preserve">approvati con </w:t>
      </w:r>
      <w:r w:rsidR="00BF7EB6" w:rsidRPr="0020549E">
        <w:rPr>
          <w:rFonts w:asciiTheme="minorHAnsi" w:hAnsiTheme="minorHAnsi"/>
          <w:sz w:val="22"/>
          <w:szCs w:val="22"/>
        </w:rPr>
        <w:t xml:space="preserve">nota </w:t>
      </w:r>
      <w:r w:rsidR="00991E63">
        <w:rPr>
          <w:rFonts w:asciiTheme="minorHAnsi" w:hAnsiTheme="minorHAnsi"/>
          <w:sz w:val="22"/>
          <w:szCs w:val="22"/>
        </w:rPr>
        <w:t>27841</w:t>
      </w:r>
      <w:r w:rsidR="0020549E" w:rsidRPr="0020549E">
        <w:rPr>
          <w:rFonts w:asciiTheme="minorHAnsi" w:hAnsiTheme="minorHAnsi"/>
          <w:sz w:val="22"/>
          <w:szCs w:val="22"/>
        </w:rPr>
        <w:t>/20</w:t>
      </w:r>
      <w:r w:rsidR="00991E63">
        <w:rPr>
          <w:rFonts w:asciiTheme="minorHAnsi" w:hAnsiTheme="minorHAnsi"/>
          <w:sz w:val="22"/>
          <w:szCs w:val="22"/>
        </w:rPr>
        <w:t>22</w:t>
      </w:r>
      <w:r w:rsidR="00BF7EB6" w:rsidRPr="0020549E">
        <w:rPr>
          <w:rFonts w:asciiTheme="minorHAnsi" w:hAnsiTheme="minorHAnsi"/>
          <w:sz w:val="22"/>
          <w:szCs w:val="22"/>
        </w:rPr>
        <w:t xml:space="preserve"> </w:t>
      </w:r>
      <w:r w:rsidR="00A63C01" w:rsidRPr="0020549E">
        <w:rPr>
          <w:rFonts w:asciiTheme="minorHAnsi" w:hAnsiTheme="minorHAnsi"/>
          <w:sz w:val="22"/>
          <w:szCs w:val="22"/>
        </w:rPr>
        <w:t>e da</w:t>
      </w:r>
      <w:r w:rsidR="00A63C01">
        <w:rPr>
          <w:rFonts w:asciiTheme="minorHAnsi" w:hAnsiTheme="minorHAnsi"/>
          <w:sz w:val="22"/>
          <w:szCs w:val="22"/>
        </w:rPr>
        <w:t xml:space="preserve"> altre progettazioni derivanti da indicazioni regionali (RAR Regione Lombardia Deliber</w:t>
      </w:r>
      <w:r w:rsidR="00A327DD">
        <w:rPr>
          <w:rFonts w:asciiTheme="minorHAnsi" w:hAnsiTheme="minorHAnsi"/>
          <w:sz w:val="22"/>
          <w:szCs w:val="22"/>
        </w:rPr>
        <w:t>a</w:t>
      </w:r>
      <w:r w:rsidR="00A63C01">
        <w:rPr>
          <w:rFonts w:asciiTheme="minorHAnsi" w:hAnsiTheme="minorHAnsi"/>
          <w:sz w:val="22"/>
          <w:szCs w:val="22"/>
        </w:rPr>
        <w:t xml:space="preserve"> Regione Lombardia </w:t>
      </w:r>
      <w:r w:rsidR="00D273EB">
        <w:rPr>
          <w:rFonts w:asciiTheme="minorHAnsi" w:hAnsiTheme="minorHAnsi"/>
          <w:sz w:val="22"/>
          <w:szCs w:val="22"/>
        </w:rPr>
        <w:t>XI/</w:t>
      </w:r>
      <w:r w:rsidR="00991E63">
        <w:rPr>
          <w:rFonts w:asciiTheme="minorHAnsi" w:hAnsiTheme="minorHAnsi"/>
          <w:sz w:val="22"/>
          <w:szCs w:val="22"/>
        </w:rPr>
        <w:t>6873</w:t>
      </w:r>
      <w:r w:rsidR="00A327DD">
        <w:rPr>
          <w:rFonts w:asciiTheme="minorHAnsi" w:hAnsiTheme="minorHAnsi"/>
          <w:sz w:val="22"/>
          <w:szCs w:val="22"/>
        </w:rPr>
        <w:t xml:space="preserve"> del 0</w:t>
      </w:r>
      <w:r w:rsidR="00991E63">
        <w:rPr>
          <w:rFonts w:asciiTheme="minorHAnsi" w:hAnsiTheme="minorHAnsi"/>
          <w:sz w:val="22"/>
          <w:szCs w:val="22"/>
        </w:rPr>
        <w:t>2</w:t>
      </w:r>
      <w:r w:rsidR="00A327DD">
        <w:rPr>
          <w:rFonts w:asciiTheme="minorHAnsi" w:hAnsiTheme="minorHAnsi"/>
          <w:sz w:val="22"/>
          <w:szCs w:val="22"/>
        </w:rPr>
        <w:t>/0</w:t>
      </w:r>
      <w:r w:rsidR="00991E63">
        <w:rPr>
          <w:rFonts w:asciiTheme="minorHAnsi" w:hAnsiTheme="minorHAnsi"/>
          <w:sz w:val="22"/>
          <w:szCs w:val="22"/>
        </w:rPr>
        <w:t>8</w:t>
      </w:r>
      <w:r w:rsidR="00A327DD">
        <w:rPr>
          <w:rFonts w:asciiTheme="minorHAnsi" w:hAnsiTheme="minorHAnsi"/>
          <w:sz w:val="22"/>
          <w:szCs w:val="22"/>
        </w:rPr>
        <w:t>/202</w:t>
      </w:r>
      <w:r w:rsidR="00991E63">
        <w:rPr>
          <w:rFonts w:asciiTheme="minorHAnsi" w:hAnsiTheme="minorHAnsi"/>
          <w:sz w:val="22"/>
          <w:szCs w:val="22"/>
        </w:rPr>
        <w:t>2</w:t>
      </w:r>
      <w:r w:rsidR="00A63C01">
        <w:rPr>
          <w:rFonts w:asciiTheme="minorHAnsi" w:hAnsiTheme="minorHAnsi"/>
          <w:sz w:val="22"/>
          <w:szCs w:val="22"/>
        </w:rPr>
        <w:t xml:space="preserve">) </w:t>
      </w:r>
      <w:r>
        <w:rPr>
          <w:rFonts w:asciiTheme="minorHAnsi" w:hAnsiTheme="minorHAnsi"/>
          <w:sz w:val="22"/>
          <w:szCs w:val="22"/>
        </w:rPr>
        <w:t xml:space="preserve">che rappresentano </w:t>
      </w:r>
      <w:r w:rsidR="001977A3">
        <w:rPr>
          <w:rFonts w:asciiTheme="minorHAnsi" w:hAnsiTheme="minorHAnsi"/>
          <w:sz w:val="22"/>
          <w:szCs w:val="22"/>
        </w:rPr>
        <w:t xml:space="preserve">progetti riguardanti specifici e ben definiti gruppi di lavoro e </w:t>
      </w:r>
      <w:r w:rsidRPr="00425E22">
        <w:rPr>
          <w:rFonts w:asciiTheme="minorHAnsi" w:hAnsiTheme="minorHAnsi"/>
          <w:sz w:val="22"/>
          <w:szCs w:val="22"/>
        </w:rPr>
        <w:t>che fa</w:t>
      </w:r>
      <w:r w:rsidR="001977A3">
        <w:rPr>
          <w:rFonts w:asciiTheme="minorHAnsi" w:hAnsiTheme="minorHAnsi"/>
          <w:sz w:val="22"/>
          <w:szCs w:val="22"/>
        </w:rPr>
        <w:t>n</w:t>
      </w:r>
      <w:r w:rsidRPr="00425E22">
        <w:rPr>
          <w:rFonts w:asciiTheme="minorHAnsi" w:hAnsiTheme="minorHAnsi"/>
          <w:sz w:val="22"/>
          <w:szCs w:val="22"/>
        </w:rPr>
        <w:t>no riferimento a innovazioni gestionali ed operative</w:t>
      </w:r>
      <w:r w:rsidR="001977A3">
        <w:rPr>
          <w:rFonts w:asciiTheme="minorHAnsi" w:hAnsiTheme="minorHAnsi"/>
          <w:sz w:val="22"/>
          <w:szCs w:val="22"/>
        </w:rPr>
        <w:t xml:space="preserve"> approvate direttamente dalla Direzione Generale</w:t>
      </w:r>
      <w:r w:rsidRPr="00425E22">
        <w:rPr>
          <w:rFonts w:asciiTheme="minorHAnsi" w:hAnsiTheme="minorHAnsi"/>
          <w:sz w:val="22"/>
          <w:szCs w:val="22"/>
        </w:rPr>
        <w:t xml:space="preserve">. </w:t>
      </w:r>
    </w:p>
    <w:p w:rsidR="00F1157D" w:rsidRDefault="00F1157D" w:rsidP="00F1157D">
      <w:pPr>
        <w:pStyle w:val="Default"/>
        <w:jc w:val="both"/>
        <w:rPr>
          <w:rFonts w:asciiTheme="minorHAnsi" w:hAnsiTheme="minorHAnsi"/>
          <w:sz w:val="22"/>
          <w:szCs w:val="22"/>
        </w:rPr>
      </w:pPr>
    </w:p>
    <w:p w:rsidR="00551055" w:rsidRPr="005F4F27" w:rsidRDefault="00551055" w:rsidP="00551055">
      <w:pPr>
        <w:pStyle w:val="Titolo1"/>
        <w:numPr>
          <w:ilvl w:val="0"/>
          <w:numId w:val="1"/>
        </w:numPr>
        <w:tabs>
          <w:tab w:val="num" w:pos="432"/>
          <w:tab w:val="num" w:pos="540"/>
        </w:tabs>
        <w:ind w:left="432" w:hanging="432"/>
        <w:jc w:val="left"/>
        <w:rPr>
          <w:rFonts w:asciiTheme="minorHAnsi" w:hAnsiTheme="minorHAnsi"/>
          <w:sz w:val="24"/>
          <w:szCs w:val="24"/>
        </w:rPr>
      </w:pPr>
      <w:bookmarkStart w:id="3" w:name="_Toc70581320"/>
      <w:r>
        <w:rPr>
          <w:rFonts w:asciiTheme="minorHAnsi" w:hAnsiTheme="minorHAnsi"/>
          <w:sz w:val="24"/>
          <w:szCs w:val="24"/>
        </w:rPr>
        <w:lastRenderedPageBreak/>
        <w:t>Performance individuale</w:t>
      </w:r>
      <w:bookmarkEnd w:id="3"/>
      <w:r w:rsidRPr="005F4F27">
        <w:rPr>
          <w:rFonts w:asciiTheme="minorHAnsi" w:hAnsiTheme="minorHAnsi"/>
          <w:sz w:val="24"/>
          <w:szCs w:val="24"/>
        </w:rPr>
        <w:t xml:space="preserve"> </w:t>
      </w:r>
    </w:p>
    <w:p w:rsidR="00801FEC" w:rsidRDefault="00D273EB" w:rsidP="00D273EB">
      <w:pPr>
        <w:pStyle w:val="Default"/>
        <w:jc w:val="both"/>
        <w:rPr>
          <w:rFonts w:asciiTheme="minorHAnsi" w:hAnsiTheme="minorHAnsi"/>
          <w:sz w:val="22"/>
          <w:szCs w:val="22"/>
        </w:rPr>
      </w:pPr>
      <w:r>
        <w:rPr>
          <w:rFonts w:asciiTheme="minorHAnsi" w:hAnsiTheme="minorHAnsi"/>
          <w:sz w:val="22"/>
          <w:szCs w:val="22"/>
        </w:rPr>
        <w:t>Preliminarmente si osserva che per performance individuale si fa riferimento a</w:t>
      </w:r>
      <w:r w:rsidRPr="00D273EB">
        <w:rPr>
          <w:rFonts w:asciiTheme="minorHAnsi" w:hAnsiTheme="minorHAnsi"/>
          <w:sz w:val="22"/>
          <w:szCs w:val="22"/>
        </w:rPr>
        <w:t>gli obiettivi assegnati specificamente al dirigente o al</w:t>
      </w:r>
      <w:r>
        <w:rPr>
          <w:rFonts w:asciiTheme="minorHAnsi" w:hAnsiTheme="minorHAnsi"/>
          <w:sz w:val="22"/>
          <w:szCs w:val="22"/>
        </w:rPr>
        <w:t xml:space="preserve"> </w:t>
      </w:r>
      <w:r w:rsidRPr="00D273EB">
        <w:rPr>
          <w:rFonts w:asciiTheme="minorHAnsi" w:hAnsiTheme="minorHAnsi"/>
          <w:sz w:val="22"/>
          <w:szCs w:val="22"/>
        </w:rPr>
        <w:t>dipendente, il quale è l’unico soggetto chiamato a risponderne: essi possono essere collegati</w:t>
      </w:r>
      <w:r>
        <w:rPr>
          <w:rFonts w:asciiTheme="minorHAnsi" w:hAnsiTheme="minorHAnsi"/>
          <w:sz w:val="22"/>
          <w:szCs w:val="22"/>
        </w:rPr>
        <w:t xml:space="preserve"> </w:t>
      </w:r>
      <w:r w:rsidRPr="00D273EB">
        <w:rPr>
          <w:rFonts w:asciiTheme="minorHAnsi" w:hAnsiTheme="minorHAnsi"/>
          <w:sz w:val="22"/>
          <w:szCs w:val="22"/>
        </w:rPr>
        <w:t>agli obiettivi della struttura (andando, ad esempio, ad enucleare il contributo specifico</w:t>
      </w:r>
      <w:r>
        <w:rPr>
          <w:rFonts w:asciiTheme="minorHAnsi" w:hAnsiTheme="minorHAnsi"/>
          <w:sz w:val="22"/>
          <w:szCs w:val="22"/>
        </w:rPr>
        <w:t xml:space="preserve"> </w:t>
      </w:r>
      <w:r w:rsidRPr="00D273EB">
        <w:rPr>
          <w:rFonts w:asciiTheme="minorHAnsi" w:hAnsiTheme="minorHAnsi"/>
          <w:sz w:val="22"/>
          <w:szCs w:val="22"/>
        </w:rPr>
        <w:t>richiesto al singolo), ma possono anche fare riferimento ad attività di esclusiva responsabilità</w:t>
      </w:r>
      <w:r>
        <w:rPr>
          <w:rFonts w:asciiTheme="minorHAnsi" w:hAnsiTheme="minorHAnsi"/>
          <w:sz w:val="22"/>
          <w:szCs w:val="22"/>
        </w:rPr>
        <w:t xml:space="preserve"> </w:t>
      </w:r>
      <w:r w:rsidRPr="00D273EB">
        <w:rPr>
          <w:rFonts w:asciiTheme="minorHAnsi" w:hAnsiTheme="minorHAnsi"/>
          <w:sz w:val="22"/>
          <w:szCs w:val="22"/>
        </w:rPr>
        <w:t xml:space="preserve">del dirigente/dipendente e non collegate a quelle della struttura (es. incarichi ad </w:t>
      </w:r>
      <w:proofErr w:type="spellStart"/>
      <w:r w:rsidRPr="00D273EB">
        <w:rPr>
          <w:rFonts w:asciiTheme="minorHAnsi" w:hAnsiTheme="minorHAnsi"/>
          <w:sz w:val="22"/>
          <w:szCs w:val="22"/>
        </w:rPr>
        <w:t>personam</w:t>
      </w:r>
      <w:proofErr w:type="spellEnd"/>
      <w:r w:rsidRPr="00D273EB">
        <w:rPr>
          <w:rFonts w:asciiTheme="minorHAnsi" w:hAnsiTheme="minorHAnsi"/>
          <w:sz w:val="22"/>
          <w:szCs w:val="22"/>
        </w:rPr>
        <w:t>)</w:t>
      </w:r>
      <w:r>
        <w:rPr>
          <w:rFonts w:asciiTheme="minorHAnsi" w:hAnsiTheme="minorHAnsi"/>
          <w:sz w:val="22"/>
          <w:szCs w:val="22"/>
        </w:rPr>
        <w:t>.</w:t>
      </w:r>
    </w:p>
    <w:p w:rsidR="0005389C" w:rsidRPr="0005389C" w:rsidRDefault="00ED23E3" w:rsidP="0005389C">
      <w:pPr>
        <w:pStyle w:val="Default"/>
        <w:jc w:val="both"/>
        <w:rPr>
          <w:rFonts w:asciiTheme="minorHAnsi" w:hAnsiTheme="minorHAnsi"/>
          <w:sz w:val="22"/>
          <w:szCs w:val="22"/>
        </w:rPr>
      </w:pPr>
      <w:r w:rsidRPr="00ED23E3">
        <w:rPr>
          <w:rFonts w:asciiTheme="minorHAnsi" w:hAnsiTheme="minorHAnsi"/>
          <w:sz w:val="22"/>
          <w:szCs w:val="22"/>
        </w:rPr>
        <w:t>Il contributo di ogni singolo app</w:t>
      </w:r>
      <w:r w:rsidR="00F1157D">
        <w:rPr>
          <w:rFonts w:asciiTheme="minorHAnsi" w:hAnsiTheme="minorHAnsi"/>
          <w:sz w:val="22"/>
          <w:szCs w:val="22"/>
        </w:rPr>
        <w:t>orto professionale è finalizzato</w:t>
      </w:r>
      <w:r w:rsidRPr="00ED23E3">
        <w:rPr>
          <w:rFonts w:asciiTheme="minorHAnsi" w:hAnsiTheme="minorHAnsi"/>
          <w:sz w:val="22"/>
          <w:szCs w:val="22"/>
        </w:rPr>
        <w:t xml:space="preserve"> al raggiungimento degli obiettivi di performance organizzativa della struttura in cui il dipendente è collocato e, conseguentemente, ai più generali obiettivi strategici aziendali. </w:t>
      </w:r>
      <w:r w:rsidR="00CC3154">
        <w:rPr>
          <w:rFonts w:asciiTheme="minorHAnsi" w:hAnsiTheme="minorHAnsi"/>
          <w:sz w:val="22"/>
          <w:szCs w:val="22"/>
        </w:rPr>
        <w:t xml:space="preserve">Nel contempo, nell’ambito del sistema </w:t>
      </w:r>
      <w:proofErr w:type="spellStart"/>
      <w:r w:rsidR="00CC3154">
        <w:rPr>
          <w:rFonts w:asciiTheme="minorHAnsi" w:hAnsiTheme="minorHAnsi"/>
          <w:sz w:val="22"/>
          <w:szCs w:val="22"/>
        </w:rPr>
        <w:t>Inrca</w:t>
      </w:r>
      <w:proofErr w:type="spellEnd"/>
      <w:r w:rsidR="00CC3154">
        <w:rPr>
          <w:rFonts w:asciiTheme="minorHAnsi" w:hAnsiTheme="minorHAnsi"/>
          <w:sz w:val="22"/>
          <w:szCs w:val="22"/>
        </w:rPr>
        <w:t>, è oramai consolidata anche una ulteriore dimensione di obiettivi che si r</w:t>
      </w:r>
      <w:r w:rsidR="00E7616F">
        <w:rPr>
          <w:rFonts w:asciiTheme="minorHAnsi" w:hAnsiTheme="minorHAnsi"/>
          <w:sz w:val="22"/>
          <w:szCs w:val="22"/>
        </w:rPr>
        <w:t>ealizza</w:t>
      </w:r>
      <w:r w:rsidR="00CC3154">
        <w:rPr>
          <w:rFonts w:asciiTheme="minorHAnsi" w:hAnsiTheme="minorHAnsi"/>
          <w:sz w:val="22"/>
          <w:szCs w:val="22"/>
        </w:rPr>
        <w:t>no</w:t>
      </w:r>
      <w:r w:rsidR="00E7616F">
        <w:rPr>
          <w:rFonts w:asciiTheme="minorHAnsi" w:hAnsiTheme="minorHAnsi"/>
          <w:sz w:val="22"/>
          <w:szCs w:val="22"/>
        </w:rPr>
        <w:t xml:space="preserve"> attraverso un’</w:t>
      </w:r>
      <w:r w:rsidR="0005389C" w:rsidRPr="0005389C">
        <w:rPr>
          <w:rFonts w:asciiTheme="minorHAnsi" w:hAnsiTheme="minorHAnsi"/>
          <w:sz w:val="22"/>
          <w:szCs w:val="22"/>
        </w:rPr>
        <w:t>apposita sc</w:t>
      </w:r>
      <w:r w:rsidR="00CC3154">
        <w:rPr>
          <w:rFonts w:asciiTheme="minorHAnsi" w:hAnsiTheme="minorHAnsi"/>
          <w:sz w:val="22"/>
          <w:szCs w:val="22"/>
        </w:rPr>
        <w:t>heda di valutazione individuale e che, unitamente agli obiettivi della performance organizzativa, individuano la complessiva performance individuale</w:t>
      </w:r>
      <w:r w:rsidR="00801FEC">
        <w:rPr>
          <w:rFonts w:asciiTheme="minorHAnsi" w:hAnsiTheme="minorHAnsi"/>
          <w:sz w:val="22"/>
          <w:szCs w:val="22"/>
        </w:rPr>
        <w:t xml:space="preserve"> di ciascun dipendente</w:t>
      </w:r>
      <w:r w:rsidR="00CC3154">
        <w:rPr>
          <w:rFonts w:asciiTheme="minorHAnsi" w:hAnsiTheme="minorHAnsi"/>
          <w:sz w:val="22"/>
          <w:szCs w:val="22"/>
        </w:rPr>
        <w:t xml:space="preserve">. </w:t>
      </w:r>
      <w:r w:rsidR="0005389C" w:rsidRPr="0005389C">
        <w:rPr>
          <w:rFonts w:asciiTheme="minorHAnsi" w:hAnsiTheme="minorHAnsi"/>
          <w:sz w:val="22"/>
          <w:szCs w:val="22"/>
        </w:rPr>
        <w:t xml:space="preserve"> </w:t>
      </w:r>
      <w:r w:rsidR="00CC3154">
        <w:rPr>
          <w:rFonts w:asciiTheme="minorHAnsi" w:hAnsiTheme="minorHAnsi"/>
          <w:sz w:val="22"/>
          <w:szCs w:val="22"/>
        </w:rPr>
        <w:t xml:space="preserve">La scheda di valutazione individuale </w:t>
      </w:r>
      <w:r w:rsidR="0005389C" w:rsidRPr="0005389C">
        <w:rPr>
          <w:rFonts w:asciiTheme="minorHAnsi" w:hAnsiTheme="minorHAnsi"/>
          <w:sz w:val="22"/>
          <w:szCs w:val="22"/>
        </w:rPr>
        <w:t xml:space="preserve">è un importante strumento a supporto dell’Istituto, volto alla valorizzazione del personale dipendente, oltre che di analisi e verifica delle performance. Inoltre, esso assume una doppia valenza, in quanto </w:t>
      </w:r>
      <w:r w:rsidR="00E7616F">
        <w:rPr>
          <w:rFonts w:asciiTheme="minorHAnsi" w:hAnsiTheme="minorHAnsi"/>
          <w:sz w:val="22"/>
          <w:szCs w:val="22"/>
        </w:rPr>
        <w:t xml:space="preserve">posto anche </w:t>
      </w:r>
      <w:r w:rsidR="0005389C" w:rsidRPr="0005389C">
        <w:rPr>
          <w:rFonts w:asciiTheme="minorHAnsi" w:hAnsiTheme="minorHAnsi"/>
          <w:sz w:val="22"/>
          <w:szCs w:val="22"/>
        </w:rPr>
        <w:t xml:space="preserve">a sostegno dei processi di miglioramento dell’Istituto e dei singoli individui. Infatti, dal punto di vista dell’Istituto, questo processo è orientato al miglioramento delle prestazioni nei confronti dei </w:t>
      </w:r>
      <w:r w:rsidR="00991E63">
        <w:rPr>
          <w:rFonts w:asciiTheme="minorHAnsi" w:hAnsiTheme="minorHAnsi"/>
          <w:sz w:val="22"/>
          <w:szCs w:val="22"/>
        </w:rPr>
        <w:t>“</w:t>
      </w:r>
      <w:r w:rsidR="0005389C" w:rsidRPr="0005389C">
        <w:rPr>
          <w:rFonts w:asciiTheme="minorHAnsi" w:hAnsiTheme="minorHAnsi"/>
          <w:sz w:val="22"/>
          <w:szCs w:val="22"/>
        </w:rPr>
        <w:t>clienti</w:t>
      </w:r>
      <w:r w:rsidR="00991E63">
        <w:rPr>
          <w:rFonts w:asciiTheme="minorHAnsi" w:hAnsiTheme="minorHAnsi"/>
          <w:sz w:val="22"/>
          <w:szCs w:val="22"/>
        </w:rPr>
        <w:t>”</w:t>
      </w:r>
      <w:r w:rsidR="0005389C" w:rsidRPr="0005389C">
        <w:rPr>
          <w:rFonts w:asciiTheme="minorHAnsi" w:hAnsiTheme="minorHAnsi"/>
          <w:sz w:val="22"/>
          <w:szCs w:val="22"/>
        </w:rPr>
        <w:t xml:space="preserve"> esterni ed interni, mentre a livello individuale permette di stimolare lo specifico apporto del singolo e le sue competenze professionali, oltre che incoraggiare e valorizzare i comportamenti individuali. Infine, va ricordato che all’interno </w:t>
      </w:r>
      <w:proofErr w:type="spellStart"/>
      <w:r w:rsidR="0005389C" w:rsidRPr="0005389C">
        <w:rPr>
          <w:rFonts w:asciiTheme="minorHAnsi" w:hAnsiTheme="minorHAnsi"/>
          <w:sz w:val="22"/>
          <w:szCs w:val="22"/>
        </w:rPr>
        <w:t>dell’Inrca</w:t>
      </w:r>
      <w:proofErr w:type="spellEnd"/>
      <w:r w:rsidR="0005389C" w:rsidRPr="0005389C">
        <w:rPr>
          <w:rFonts w:asciiTheme="minorHAnsi" w:hAnsiTheme="minorHAnsi"/>
          <w:sz w:val="22"/>
          <w:szCs w:val="22"/>
        </w:rPr>
        <w:t xml:space="preserve"> la valutazione del personale è parte integrante del Sistema Premiante come indicato </w:t>
      </w:r>
      <w:r w:rsidR="00A327DD">
        <w:rPr>
          <w:rFonts w:asciiTheme="minorHAnsi" w:hAnsiTheme="minorHAnsi"/>
          <w:sz w:val="22"/>
          <w:szCs w:val="22"/>
        </w:rPr>
        <w:t>nel</w:t>
      </w:r>
      <w:r w:rsidR="007D1DC6">
        <w:rPr>
          <w:rFonts w:asciiTheme="minorHAnsi" w:hAnsiTheme="minorHAnsi"/>
          <w:sz w:val="22"/>
          <w:szCs w:val="22"/>
        </w:rPr>
        <w:t>lo SMIVAP</w:t>
      </w:r>
      <w:r w:rsidR="0005389C" w:rsidRPr="0005389C">
        <w:rPr>
          <w:rFonts w:asciiTheme="minorHAnsi" w:hAnsiTheme="minorHAnsi"/>
          <w:sz w:val="22"/>
          <w:szCs w:val="22"/>
        </w:rPr>
        <w:t xml:space="preserve"> che evidenzia come sia collegata alla scheda di valutazione individuale una percentuale della quota incentivante, diversificata a seconda del ruolo del valutato.</w:t>
      </w:r>
    </w:p>
    <w:p w:rsidR="00AD75F4" w:rsidRDefault="00991E63" w:rsidP="00991E63">
      <w:pPr>
        <w:jc w:val="both"/>
        <w:rPr>
          <w:rFonts w:cs="Bookman Old Style"/>
          <w:color w:val="000000"/>
        </w:rPr>
      </w:pPr>
      <w:r>
        <w:rPr>
          <w:rFonts w:cs="Bookman Old Style"/>
          <w:color w:val="000000"/>
        </w:rPr>
        <w:t>Al momento il percorso di valutazione della performance individuale 2022, al pari di quello della performance organizzativa, non si è ancora concluso, essendo unitario.</w:t>
      </w:r>
    </w:p>
    <w:p w:rsidR="007D1DC6" w:rsidRDefault="00991E63" w:rsidP="007D1DC6">
      <w:pPr>
        <w:jc w:val="both"/>
        <w:rPr>
          <w:rFonts w:cs="Bookman Old Style"/>
          <w:color w:val="000000"/>
        </w:rPr>
      </w:pPr>
      <w:r>
        <w:rPr>
          <w:rFonts w:cs="Bookman Old Style"/>
          <w:color w:val="000000"/>
        </w:rPr>
        <w:t>In ogni caso s</w:t>
      </w:r>
      <w:r w:rsidR="007D1DC6">
        <w:rPr>
          <w:rFonts w:cs="Bookman Old Style"/>
          <w:color w:val="000000"/>
        </w:rPr>
        <w:t xml:space="preserve">i ricorda che il processo della scheda di valutazione individuale è uno strumento realmente utilizzato all’interno </w:t>
      </w:r>
      <w:proofErr w:type="spellStart"/>
      <w:r w:rsidR="007D1DC6">
        <w:rPr>
          <w:rFonts w:cs="Bookman Old Style"/>
          <w:color w:val="000000"/>
        </w:rPr>
        <w:t>dell’Inrca</w:t>
      </w:r>
      <w:proofErr w:type="spellEnd"/>
      <w:r w:rsidR="007D1DC6">
        <w:rPr>
          <w:rFonts w:cs="Bookman Old Style"/>
          <w:color w:val="000000"/>
        </w:rPr>
        <w:t xml:space="preserve"> già dal 2009.  </w:t>
      </w:r>
    </w:p>
    <w:p w:rsidR="007D1DC6" w:rsidRDefault="007D1DC6" w:rsidP="007D1DC6">
      <w:pPr>
        <w:jc w:val="both"/>
        <w:rPr>
          <w:rFonts w:cs="Bookman Old Style"/>
          <w:color w:val="000000"/>
        </w:rPr>
      </w:pPr>
      <w:r>
        <w:rPr>
          <w:rFonts w:cs="Bookman Old Style"/>
          <w:color w:val="000000"/>
        </w:rPr>
        <w:t>Come indicato nella Relazione sulla performance</w:t>
      </w:r>
      <w:r w:rsidR="00991E63">
        <w:rPr>
          <w:rFonts w:cs="Bookman Old Style"/>
          <w:color w:val="000000"/>
        </w:rPr>
        <w:t xml:space="preserve"> 2021</w:t>
      </w:r>
      <w:r>
        <w:rPr>
          <w:rFonts w:cs="Bookman Old Style"/>
          <w:color w:val="000000"/>
        </w:rPr>
        <w:t xml:space="preserve">, partendo anche dalle proposte presentate dall’OIV, </w:t>
      </w:r>
      <w:r>
        <w:t>data</w:t>
      </w:r>
      <w:r w:rsidRPr="00BE2255">
        <w:t xml:space="preserve"> la necessità per l’Istituto di rafforzare la dimensione della valutazione individuale ridando “spinta” alla stessa al fine di ottenere i benefici potenziali</w:t>
      </w:r>
      <w:r>
        <w:t xml:space="preserve">, fermo restando </w:t>
      </w:r>
      <w:r w:rsidRPr="00BE2255">
        <w:t>che, come in più sedi ripetuto, la differenziazione dei giudizi non rappresenta un fine di un SMVP ma di sicuro ne rappresenta un indicat</w:t>
      </w:r>
      <w:r>
        <w:t>ore della qualità dello stesso</w:t>
      </w:r>
      <w:r>
        <w:rPr>
          <w:rFonts w:cs="Bookman Old Style"/>
          <w:color w:val="000000"/>
        </w:rPr>
        <w:t>. Sempre in tale ambito è stata identificata la specifica soglia/</w:t>
      </w:r>
      <w:r w:rsidRPr="00D273EB">
        <w:rPr>
          <w:rFonts w:cs="Bookman Old Style"/>
          <w:color w:val="000000"/>
        </w:rPr>
        <w:t xml:space="preserve">valore di riferimento che contraddistingua il giudizio negativo, </w:t>
      </w:r>
      <w:r>
        <w:rPr>
          <w:rFonts w:cs="Bookman Old Style"/>
          <w:color w:val="000000"/>
        </w:rPr>
        <w:t>ed è stato meglio</w:t>
      </w:r>
      <w:r w:rsidRPr="00D273EB">
        <w:rPr>
          <w:rFonts w:cs="Bookman Old Style"/>
          <w:color w:val="000000"/>
        </w:rPr>
        <w:t xml:space="preserve"> esplicita</w:t>
      </w:r>
      <w:r>
        <w:rPr>
          <w:rFonts w:cs="Bookman Old Style"/>
          <w:color w:val="000000"/>
        </w:rPr>
        <w:t>to</w:t>
      </w:r>
      <w:r w:rsidRPr="00D273EB">
        <w:rPr>
          <w:rFonts w:cs="Bookman Old Style"/>
          <w:color w:val="000000"/>
        </w:rPr>
        <w:t xml:space="preserve"> </w:t>
      </w:r>
      <w:r>
        <w:rPr>
          <w:rFonts w:cs="Bookman Old Style"/>
          <w:color w:val="000000"/>
        </w:rPr>
        <w:t>i</w:t>
      </w:r>
      <w:r w:rsidRPr="00D273EB">
        <w:rPr>
          <w:rFonts w:cs="Bookman Old Style"/>
          <w:color w:val="000000"/>
        </w:rPr>
        <w:t>l correlato percorso di garanzia di riferimento per il valutato che intenda richiedere la valutazione di II istanza</w:t>
      </w:r>
      <w:r>
        <w:rPr>
          <w:rFonts w:cs="Bookman Old Style"/>
          <w:color w:val="000000"/>
        </w:rPr>
        <w:t>, nella logica di miglioramento del sistema proposta dall’</w:t>
      </w:r>
      <w:proofErr w:type="spellStart"/>
      <w:r>
        <w:rPr>
          <w:rFonts w:cs="Bookman Old Style"/>
          <w:color w:val="000000"/>
        </w:rPr>
        <w:t>Oiv</w:t>
      </w:r>
      <w:proofErr w:type="spellEnd"/>
      <w:r>
        <w:rPr>
          <w:rFonts w:cs="Bookman Old Style"/>
          <w:color w:val="000000"/>
        </w:rPr>
        <w:t xml:space="preserve"> nel corso della sua attività e segnalata nelle relazioni </w:t>
      </w:r>
      <w:r w:rsidR="007975E1">
        <w:rPr>
          <w:rFonts w:cs="Bookman Old Style"/>
          <w:color w:val="000000"/>
        </w:rPr>
        <w:t xml:space="preserve">degli anni </w:t>
      </w:r>
      <w:r>
        <w:rPr>
          <w:rFonts w:cs="Bookman Old Style"/>
          <w:color w:val="000000"/>
        </w:rPr>
        <w:t>precedenti.</w:t>
      </w:r>
    </w:p>
    <w:p w:rsidR="00AD75F4" w:rsidRDefault="00AD75F4" w:rsidP="00AD75F4">
      <w:pPr>
        <w:jc w:val="both"/>
        <w:rPr>
          <w:rFonts w:cs="Bookman Old Style"/>
          <w:color w:val="000000"/>
        </w:rPr>
      </w:pPr>
      <w:r>
        <w:rPr>
          <w:rFonts w:cs="Bookman Old Style"/>
          <w:color w:val="000000"/>
        </w:rPr>
        <w:t>Sinteticamente la performance individuale</w:t>
      </w:r>
      <w:r w:rsidR="00991E63">
        <w:rPr>
          <w:rFonts w:cs="Bookman Old Style"/>
          <w:color w:val="000000"/>
        </w:rPr>
        <w:t>, sin dal 2021,</w:t>
      </w:r>
      <w:r>
        <w:rPr>
          <w:rFonts w:cs="Bookman Old Style"/>
          <w:color w:val="000000"/>
        </w:rPr>
        <w:t xml:space="preserve"> per ciascun dipendente all’interno </w:t>
      </w:r>
      <w:proofErr w:type="spellStart"/>
      <w:r>
        <w:rPr>
          <w:rFonts w:cs="Bookman Old Style"/>
          <w:color w:val="000000"/>
        </w:rPr>
        <w:t>dell’Inrca</w:t>
      </w:r>
      <w:proofErr w:type="spellEnd"/>
      <w:r>
        <w:rPr>
          <w:rFonts w:cs="Bookman Old Style"/>
          <w:color w:val="000000"/>
        </w:rPr>
        <w:t xml:space="preserve"> può essere rappresentata nello schema seguente:</w:t>
      </w:r>
    </w:p>
    <w:p w:rsidR="00AD75F4" w:rsidRDefault="00AD75F4" w:rsidP="00AD75F4">
      <w:pPr>
        <w:jc w:val="both"/>
        <w:rPr>
          <w:rFonts w:cs="Bookman Old Style"/>
          <w:color w:val="000000"/>
        </w:rPr>
      </w:pPr>
    </w:p>
    <w:tbl>
      <w:tblPr>
        <w:tblStyle w:val="Grigliatabella"/>
        <w:tblW w:w="9918" w:type="dxa"/>
        <w:tblLook w:val="04A0" w:firstRow="1" w:lastRow="0" w:firstColumn="1" w:lastColumn="0" w:noHBand="0" w:noVBand="1"/>
      </w:tblPr>
      <w:tblGrid>
        <w:gridCol w:w="1421"/>
        <w:gridCol w:w="2402"/>
        <w:gridCol w:w="2409"/>
        <w:gridCol w:w="2268"/>
        <w:gridCol w:w="1418"/>
      </w:tblGrid>
      <w:tr w:rsidR="00AD75F4" w:rsidRPr="00801FEC" w:rsidTr="003160B7">
        <w:trPr>
          <w:trHeight w:val="1381"/>
        </w:trPr>
        <w:tc>
          <w:tcPr>
            <w:tcW w:w="1421" w:type="dxa"/>
          </w:tcPr>
          <w:p w:rsidR="00AD75F4" w:rsidRPr="00801FEC" w:rsidRDefault="00AD75F4" w:rsidP="003160B7">
            <w:pPr>
              <w:jc w:val="both"/>
              <w:rPr>
                <w:rFonts w:cs="Bookman Old Style"/>
              </w:rPr>
            </w:pPr>
            <w:r w:rsidRPr="00801FEC">
              <w:rPr>
                <w:rFonts w:cs="Bookman Old Style"/>
              </w:rPr>
              <w:t>Profilo professionale</w:t>
            </w:r>
          </w:p>
        </w:tc>
        <w:tc>
          <w:tcPr>
            <w:tcW w:w="2402" w:type="dxa"/>
          </w:tcPr>
          <w:p w:rsidR="00AD75F4" w:rsidRPr="00801FEC" w:rsidRDefault="00AD75F4" w:rsidP="003160B7">
            <w:pPr>
              <w:jc w:val="both"/>
              <w:rPr>
                <w:rFonts w:cs="Bookman Old Style"/>
              </w:rPr>
            </w:pPr>
            <w:r w:rsidRPr="00801FEC">
              <w:rPr>
                <w:rFonts w:cs="Bookman Old Style"/>
              </w:rPr>
              <w:t>Contributo agli obiettivi di performance organizzativa – Obiettivi Progetti Direzionali (eventuale solo se coinvolti)</w:t>
            </w:r>
          </w:p>
        </w:tc>
        <w:tc>
          <w:tcPr>
            <w:tcW w:w="2409" w:type="dxa"/>
          </w:tcPr>
          <w:p w:rsidR="00AD75F4" w:rsidRPr="00700103" w:rsidRDefault="00AD75F4" w:rsidP="003160B7">
            <w:pPr>
              <w:jc w:val="both"/>
              <w:rPr>
                <w:rFonts w:cs="Bookman Old Style"/>
              </w:rPr>
            </w:pPr>
            <w:r w:rsidRPr="00700103">
              <w:rPr>
                <w:rFonts w:cs="Bookman Old Style"/>
              </w:rPr>
              <w:t>Contributo agli obiettivi di performance organizzativa – Obiettivi Scheda di Budget</w:t>
            </w:r>
          </w:p>
        </w:tc>
        <w:tc>
          <w:tcPr>
            <w:tcW w:w="2268" w:type="dxa"/>
          </w:tcPr>
          <w:p w:rsidR="00AD75F4" w:rsidRPr="00700103" w:rsidRDefault="00AD75F4" w:rsidP="003160B7">
            <w:pPr>
              <w:jc w:val="both"/>
              <w:rPr>
                <w:rFonts w:cs="Bookman Old Style"/>
              </w:rPr>
            </w:pPr>
            <w:r w:rsidRPr="00700103">
              <w:rPr>
                <w:rFonts w:cs="Bookman Old Style"/>
              </w:rPr>
              <w:t>Obiettivi della Scheda di valutazione individuale processi produttivi, relazionali e organizzativi</w:t>
            </w:r>
          </w:p>
        </w:tc>
        <w:tc>
          <w:tcPr>
            <w:tcW w:w="1418" w:type="dxa"/>
          </w:tcPr>
          <w:p w:rsidR="00AD75F4" w:rsidRPr="00801FEC" w:rsidRDefault="00AD75F4" w:rsidP="003160B7">
            <w:pPr>
              <w:jc w:val="both"/>
              <w:rPr>
                <w:rFonts w:cs="Bookman Old Style"/>
              </w:rPr>
            </w:pPr>
            <w:r w:rsidRPr="00801FEC">
              <w:rPr>
                <w:rFonts w:cs="Bookman Old Style"/>
              </w:rPr>
              <w:t>TOTALE</w:t>
            </w:r>
          </w:p>
          <w:p w:rsidR="00AD75F4" w:rsidRPr="00801FEC" w:rsidRDefault="00AD75F4" w:rsidP="003160B7">
            <w:pPr>
              <w:jc w:val="both"/>
              <w:rPr>
                <w:rFonts w:cs="Bookman Old Style"/>
              </w:rPr>
            </w:pPr>
            <w:r w:rsidRPr="00801FEC">
              <w:rPr>
                <w:rFonts w:cs="Bookman Old Style"/>
              </w:rPr>
              <w:t>Modalità di distribuzione del fondo incentivi</w:t>
            </w:r>
          </w:p>
        </w:tc>
      </w:tr>
      <w:tr w:rsidR="00AD75F4" w:rsidRPr="00801FEC" w:rsidTr="003160B7">
        <w:tc>
          <w:tcPr>
            <w:tcW w:w="1421" w:type="dxa"/>
          </w:tcPr>
          <w:p w:rsidR="00AD75F4" w:rsidRPr="00801FEC" w:rsidRDefault="00AD75F4" w:rsidP="003160B7">
            <w:pPr>
              <w:jc w:val="both"/>
              <w:rPr>
                <w:rFonts w:cs="Bookman Old Style"/>
              </w:rPr>
            </w:pPr>
            <w:r w:rsidRPr="00801FEC">
              <w:rPr>
                <w:rFonts w:cs="Bookman Old Style"/>
              </w:rPr>
              <w:t>Dirigenti</w:t>
            </w:r>
          </w:p>
        </w:tc>
        <w:tc>
          <w:tcPr>
            <w:tcW w:w="2402" w:type="dxa"/>
          </w:tcPr>
          <w:p w:rsidR="00AD75F4" w:rsidRPr="00801FEC" w:rsidRDefault="00AD75F4" w:rsidP="003160B7">
            <w:pPr>
              <w:jc w:val="center"/>
              <w:rPr>
                <w:rFonts w:cs="Bookman Old Style"/>
              </w:rPr>
            </w:pPr>
          </w:p>
        </w:tc>
        <w:tc>
          <w:tcPr>
            <w:tcW w:w="2409" w:type="dxa"/>
          </w:tcPr>
          <w:p w:rsidR="00AD75F4" w:rsidRPr="00700103" w:rsidRDefault="00AD75F4" w:rsidP="003160B7">
            <w:pPr>
              <w:jc w:val="center"/>
              <w:rPr>
                <w:rFonts w:cs="Bookman Old Style"/>
              </w:rPr>
            </w:pPr>
            <w:r w:rsidRPr="00700103">
              <w:rPr>
                <w:rFonts w:cs="Bookman Old Style"/>
              </w:rPr>
              <w:t>75%</w:t>
            </w:r>
          </w:p>
        </w:tc>
        <w:tc>
          <w:tcPr>
            <w:tcW w:w="2268" w:type="dxa"/>
          </w:tcPr>
          <w:p w:rsidR="00AD75F4" w:rsidRPr="00700103" w:rsidRDefault="00AD75F4" w:rsidP="003160B7">
            <w:pPr>
              <w:jc w:val="center"/>
              <w:rPr>
                <w:rFonts w:cs="Bookman Old Style"/>
              </w:rPr>
            </w:pPr>
            <w:r w:rsidRPr="00700103">
              <w:rPr>
                <w:rFonts w:cs="Bookman Old Style"/>
              </w:rPr>
              <w:t xml:space="preserve">25% </w:t>
            </w:r>
          </w:p>
        </w:tc>
        <w:tc>
          <w:tcPr>
            <w:tcW w:w="1418" w:type="dxa"/>
          </w:tcPr>
          <w:p w:rsidR="00AD75F4" w:rsidRPr="00801FEC" w:rsidRDefault="00AD75F4" w:rsidP="003160B7">
            <w:pPr>
              <w:jc w:val="center"/>
              <w:rPr>
                <w:rFonts w:cs="Bookman Old Style"/>
              </w:rPr>
            </w:pPr>
            <w:r w:rsidRPr="00801FEC">
              <w:rPr>
                <w:rFonts w:cs="Bookman Old Style"/>
              </w:rPr>
              <w:t>100%</w:t>
            </w:r>
          </w:p>
        </w:tc>
      </w:tr>
      <w:tr w:rsidR="00AD75F4" w:rsidRPr="00801FEC" w:rsidTr="003160B7">
        <w:tc>
          <w:tcPr>
            <w:tcW w:w="1421" w:type="dxa"/>
          </w:tcPr>
          <w:p w:rsidR="00AD75F4" w:rsidRPr="00801FEC" w:rsidRDefault="00AD75F4" w:rsidP="003160B7">
            <w:pPr>
              <w:jc w:val="both"/>
              <w:rPr>
                <w:rFonts w:cs="Bookman Old Style"/>
              </w:rPr>
            </w:pPr>
            <w:r w:rsidRPr="00801FEC">
              <w:rPr>
                <w:rFonts w:cs="Bookman Old Style"/>
              </w:rPr>
              <w:t>Comparto</w:t>
            </w:r>
          </w:p>
        </w:tc>
        <w:tc>
          <w:tcPr>
            <w:tcW w:w="2402" w:type="dxa"/>
          </w:tcPr>
          <w:p w:rsidR="00AD75F4" w:rsidRPr="00801FEC" w:rsidRDefault="00AD75F4" w:rsidP="003160B7">
            <w:pPr>
              <w:jc w:val="center"/>
              <w:rPr>
                <w:rFonts w:cs="Bookman Old Style"/>
              </w:rPr>
            </w:pPr>
            <w:r w:rsidRPr="00801FEC">
              <w:rPr>
                <w:rFonts w:cs="Bookman Old Style"/>
              </w:rPr>
              <w:t>8%</w:t>
            </w:r>
          </w:p>
        </w:tc>
        <w:tc>
          <w:tcPr>
            <w:tcW w:w="2409" w:type="dxa"/>
          </w:tcPr>
          <w:p w:rsidR="00AD75F4" w:rsidRPr="00700103" w:rsidRDefault="006906DE" w:rsidP="003160B7">
            <w:pPr>
              <w:jc w:val="center"/>
              <w:rPr>
                <w:rFonts w:cs="Bookman Old Style"/>
              </w:rPr>
            </w:pPr>
            <w:r>
              <w:rPr>
                <w:rFonts w:cs="Bookman Old Style"/>
              </w:rPr>
              <w:t>64,4</w:t>
            </w:r>
            <w:r w:rsidR="00AD75F4" w:rsidRPr="00700103">
              <w:rPr>
                <w:rFonts w:cs="Bookman Old Style"/>
              </w:rPr>
              <w:t>% (</w:t>
            </w:r>
            <w:r w:rsidR="00962162">
              <w:rPr>
                <w:rFonts w:cs="Bookman Old Style"/>
              </w:rPr>
              <w:t>il 70%</w:t>
            </w:r>
            <w:r w:rsidR="00AD75F4" w:rsidRPr="00700103">
              <w:rPr>
                <w:rFonts w:cs="Bookman Old Style"/>
              </w:rPr>
              <w:t xml:space="preserve"> del 92%)</w:t>
            </w:r>
          </w:p>
        </w:tc>
        <w:tc>
          <w:tcPr>
            <w:tcW w:w="2268" w:type="dxa"/>
          </w:tcPr>
          <w:p w:rsidR="00AD75F4" w:rsidRPr="00700103" w:rsidRDefault="004809AA" w:rsidP="003160B7">
            <w:pPr>
              <w:jc w:val="center"/>
              <w:rPr>
                <w:rFonts w:cs="Bookman Old Style"/>
              </w:rPr>
            </w:pPr>
            <w:r>
              <w:rPr>
                <w:rFonts w:cs="Bookman Old Style"/>
              </w:rPr>
              <w:t>27</w:t>
            </w:r>
            <w:r w:rsidR="00AD75F4" w:rsidRPr="00700103">
              <w:rPr>
                <w:rFonts w:cs="Bookman Old Style"/>
              </w:rPr>
              <w:t>,</w:t>
            </w:r>
            <w:r>
              <w:rPr>
                <w:rFonts w:cs="Bookman Old Style"/>
              </w:rPr>
              <w:t>6</w:t>
            </w:r>
            <w:r w:rsidR="00AD75F4" w:rsidRPr="00700103">
              <w:rPr>
                <w:rFonts w:cs="Bookman Old Style"/>
              </w:rPr>
              <w:t xml:space="preserve">% (il </w:t>
            </w:r>
            <w:r w:rsidR="00962162">
              <w:rPr>
                <w:rFonts w:cs="Bookman Old Style"/>
              </w:rPr>
              <w:t>3</w:t>
            </w:r>
            <w:r w:rsidR="00AD75F4" w:rsidRPr="00700103">
              <w:rPr>
                <w:rFonts w:cs="Bookman Old Style"/>
              </w:rPr>
              <w:t>0% del 92%)</w:t>
            </w:r>
          </w:p>
        </w:tc>
        <w:tc>
          <w:tcPr>
            <w:tcW w:w="1418" w:type="dxa"/>
          </w:tcPr>
          <w:p w:rsidR="00AD75F4" w:rsidRPr="00801FEC" w:rsidRDefault="00AD75F4" w:rsidP="003160B7">
            <w:pPr>
              <w:jc w:val="center"/>
              <w:rPr>
                <w:rFonts w:cs="Bookman Old Style"/>
              </w:rPr>
            </w:pPr>
            <w:r w:rsidRPr="00801FEC">
              <w:rPr>
                <w:rFonts w:cs="Bookman Old Style"/>
              </w:rPr>
              <w:t>100%</w:t>
            </w:r>
          </w:p>
        </w:tc>
      </w:tr>
    </w:tbl>
    <w:p w:rsidR="00AD75F4" w:rsidRDefault="00AD75F4" w:rsidP="00AD75F4">
      <w:pPr>
        <w:jc w:val="both"/>
        <w:rPr>
          <w:rFonts w:cs="Bookman Old Style"/>
          <w:color w:val="000000"/>
        </w:rPr>
      </w:pPr>
    </w:p>
    <w:p w:rsidR="0005389C" w:rsidRPr="006813D7" w:rsidRDefault="00190792" w:rsidP="006813D7">
      <w:pPr>
        <w:pStyle w:val="Default"/>
        <w:jc w:val="both"/>
        <w:rPr>
          <w:rFonts w:asciiTheme="minorHAnsi" w:hAnsiTheme="minorHAnsi"/>
          <w:sz w:val="22"/>
          <w:szCs w:val="22"/>
        </w:rPr>
      </w:pPr>
      <w:r>
        <w:rPr>
          <w:rFonts w:asciiTheme="minorHAnsi" w:hAnsiTheme="minorHAnsi"/>
          <w:sz w:val="22"/>
          <w:szCs w:val="22"/>
        </w:rPr>
        <w:t>Nella</w:t>
      </w:r>
      <w:r w:rsidR="006813D7">
        <w:rPr>
          <w:rFonts w:asciiTheme="minorHAnsi" w:hAnsiTheme="minorHAnsi"/>
          <w:sz w:val="22"/>
          <w:szCs w:val="22"/>
        </w:rPr>
        <w:t xml:space="preserve"> rappresentazione della scheda B dell’allegato 1 della delibera </w:t>
      </w:r>
      <w:proofErr w:type="spellStart"/>
      <w:r w:rsidR="006813D7">
        <w:rPr>
          <w:rFonts w:asciiTheme="minorHAnsi" w:hAnsiTheme="minorHAnsi"/>
          <w:sz w:val="22"/>
          <w:szCs w:val="22"/>
        </w:rPr>
        <w:t>Anac</w:t>
      </w:r>
      <w:proofErr w:type="spellEnd"/>
      <w:r w:rsidR="006813D7">
        <w:rPr>
          <w:rFonts w:asciiTheme="minorHAnsi" w:hAnsiTheme="minorHAnsi"/>
          <w:sz w:val="22"/>
          <w:szCs w:val="22"/>
        </w:rPr>
        <w:t xml:space="preserve"> 23/2013 </w:t>
      </w:r>
      <w:r>
        <w:rPr>
          <w:rFonts w:asciiTheme="minorHAnsi" w:hAnsiTheme="minorHAnsi"/>
          <w:sz w:val="22"/>
          <w:szCs w:val="22"/>
        </w:rPr>
        <w:t xml:space="preserve">si </w:t>
      </w:r>
      <w:r w:rsidR="006813D7">
        <w:rPr>
          <w:rFonts w:asciiTheme="minorHAnsi" w:hAnsiTheme="minorHAnsi"/>
          <w:sz w:val="22"/>
          <w:szCs w:val="22"/>
        </w:rPr>
        <w:t>specifica</w:t>
      </w:r>
      <w:r>
        <w:rPr>
          <w:rFonts w:asciiTheme="minorHAnsi" w:hAnsiTheme="minorHAnsi"/>
          <w:sz w:val="22"/>
          <w:szCs w:val="22"/>
        </w:rPr>
        <w:t xml:space="preserve"> </w:t>
      </w:r>
      <w:r w:rsidR="006813D7">
        <w:rPr>
          <w:rFonts w:asciiTheme="minorHAnsi" w:hAnsiTheme="minorHAnsi"/>
          <w:sz w:val="22"/>
          <w:szCs w:val="22"/>
        </w:rPr>
        <w:t>che l</w:t>
      </w:r>
      <w:r w:rsidR="0005389C" w:rsidRPr="006813D7">
        <w:rPr>
          <w:rFonts w:asciiTheme="minorHAnsi" w:hAnsiTheme="minorHAnsi"/>
          <w:sz w:val="22"/>
          <w:szCs w:val="22"/>
        </w:rPr>
        <w:t>a classificazione dei dirigenti tra I e II Fascia è stata interpretata nel seguente modo:</w:t>
      </w:r>
    </w:p>
    <w:p w:rsidR="006813D7" w:rsidRDefault="0005389C" w:rsidP="0005389C">
      <w:pPr>
        <w:pStyle w:val="Paragrafoelenco"/>
        <w:numPr>
          <w:ilvl w:val="0"/>
          <w:numId w:val="3"/>
        </w:numPr>
        <w:jc w:val="both"/>
        <w:rPr>
          <w:rFonts w:cs="Bookman Old Style"/>
          <w:color w:val="000000"/>
        </w:rPr>
      </w:pPr>
      <w:r w:rsidRPr="006813D7">
        <w:rPr>
          <w:rFonts w:cs="Bookman Old Style"/>
          <w:color w:val="000000"/>
        </w:rPr>
        <w:t>I Fascia Dirigenti titolari di Unità Operative Complesse e Semplici dipartimentali</w:t>
      </w:r>
    </w:p>
    <w:p w:rsidR="0005389C" w:rsidRPr="006813D7" w:rsidRDefault="0005389C" w:rsidP="0005389C">
      <w:pPr>
        <w:pStyle w:val="Paragrafoelenco"/>
        <w:numPr>
          <w:ilvl w:val="0"/>
          <w:numId w:val="3"/>
        </w:numPr>
        <w:jc w:val="both"/>
        <w:rPr>
          <w:rFonts w:cs="Bookman Old Style"/>
          <w:color w:val="000000"/>
        </w:rPr>
      </w:pPr>
      <w:r w:rsidRPr="006813D7">
        <w:t>II Fascia Dirigenti titolari di Unità operativa Semplici e di incarichi professionali</w:t>
      </w:r>
    </w:p>
    <w:p w:rsidR="00AD75F4" w:rsidRPr="006813D7" w:rsidRDefault="00AD75F4" w:rsidP="006813D7">
      <w:pPr>
        <w:jc w:val="both"/>
        <w:rPr>
          <w:rFonts w:cs="Bookman Old Style"/>
          <w:color w:val="000000"/>
        </w:rPr>
      </w:pPr>
    </w:p>
    <w:p w:rsidR="00551055" w:rsidRPr="005F4F27" w:rsidRDefault="00551055" w:rsidP="00551055">
      <w:pPr>
        <w:pStyle w:val="Titolo1"/>
        <w:numPr>
          <w:ilvl w:val="0"/>
          <w:numId w:val="1"/>
        </w:numPr>
        <w:tabs>
          <w:tab w:val="num" w:pos="432"/>
          <w:tab w:val="num" w:pos="540"/>
        </w:tabs>
        <w:ind w:left="432" w:hanging="432"/>
        <w:jc w:val="left"/>
        <w:rPr>
          <w:rFonts w:asciiTheme="minorHAnsi" w:hAnsiTheme="minorHAnsi"/>
          <w:sz w:val="24"/>
          <w:szCs w:val="24"/>
        </w:rPr>
      </w:pPr>
      <w:bookmarkStart w:id="4" w:name="_Toc70581321"/>
      <w:r>
        <w:rPr>
          <w:rFonts w:asciiTheme="minorHAnsi" w:hAnsiTheme="minorHAnsi"/>
          <w:sz w:val="24"/>
          <w:szCs w:val="24"/>
        </w:rPr>
        <w:lastRenderedPageBreak/>
        <w:t>Processo del ciclo di attuazione della performance</w:t>
      </w:r>
      <w:bookmarkEnd w:id="4"/>
      <w:r w:rsidRPr="005F4F27">
        <w:rPr>
          <w:rFonts w:asciiTheme="minorHAnsi" w:hAnsiTheme="minorHAnsi"/>
          <w:sz w:val="24"/>
          <w:szCs w:val="24"/>
        </w:rPr>
        <w:t xml:space="preserve"> </w:t>
      </w:r>
    </w:p>
    <w:p w:rsidR="00870037" w:rsidRDefault="00870037" w:rsidP="00ED23E3">
      <w:pPr>
        <w:pStyle w:val="Default"/>
        <w:jc w:val="both"/>
        <w:rPr>
          <w:rFonts w:asciiTheme="minorHAnsi" w:hAnsiTheme="minorHAnsi"/>
          <w:sz w:val="22"/>
          <w:szCs w:val="22"/>
        </w:rPr>
      </w:pPr>
    </w:p>
    <w:p w:rsidR="00ED23E3" w:rsidRDefault="00ED23E3" w:rsidP="00224A3C">
      <w:pPr>
        <w:pStyle w:val="Default"/>
        <w:jc w:val="both"/>
        <w:rPr>
          <w:rFonts w:asciiTheme="minorHAnsi" w:hAnsiTheme="minorHAnsi"/>
          <w:sz w:val="22"/>
          <w:szCs w:val="22"/>
        </w:rPr>
      </w:pPr>
      <w:r w:rsidRPr="00ED23E3">
        <w:rPr>
          <w:rFonts w:asciiTheme="minorHAnsi" w:hAnsiTheme="minorHAnsi"/>
          <w:sz w:val="22"/>
          <w:szCs w:val="22"/>
        </w:rPr>
        <w:t>Il ciclo di gestione della performance</w:t>
      </w:r>
      <w:r w:rsidR="00870037">
        <w:rPr>
          <w:rFonts w:asciiTheme="minorHAnsi" w:hAnsiTheme="minorHAnsi"/>
          <w:sz w:val="22"/>
          <w:szCs w:val="22"/>
        </w:rPr>
        <w:t xml:space="preserve"> </w:t>
      </w:r>
      <w:r w:rsidR="005878F9">
        <w:rPr>
          <w:rFonts w:asciiTheme="minorHAnsi" w:hAnsiTheme="minorHAnsi"/>
          <w:sz w:val="22"/>
          <w:szCs w:val="22"/>
        </w:rPr>
        <w:t>è partito</w:t>
      </w:r>
      <w:r w:rsidRPr="00ED23E3">
        <w:rPr>
          <w:rFonts w:asciiTheme="minorHAnsi" w:hAnsiTheme="minorHAnsi"/>
          <w:sz w:val="22"/>
          <w:szCs w:val="22"/>
        </w:rPr>
        <w:t xml:space="preserve"> </w:t>
      </w:r>
      <w:r w:rsidR="005878F9">
        <w:rPr>
          <w:rFonts w:asciiTheme="minorHAnsi" w:hAnsiTheme="minorHAnsi"/>
          <w:sz w:val="22"/>
          <w:szCs w:val="22"/>
        </w:rPr>
        <w:t xml:space="preserve">con </w:t>
      </w:r>
      <w:r w:rsidRPr="00ED23E3">
        <w:rPr>
          <w:rFonts w:asciiTheme="minorHAnsi" w:hAnsiTheme="minorHAnsi"/>
          <w:sz w:val="22"/>
          <w:szCs w:val="22"/>
        </w:rPr>
        <w:t xml:space="preserve">la definizione del </w:t>
      </w:r>
      <w:r w:rsidRPr="00ED23E3">
        <w:rPr>
          <w:rFonts w:asciiTheme="minorHAnsi" w:hAnsiTheme="minorHAnsi"/>
          <w:iCs/>
          <w:sz w:val="22"/>
          <w:szCs w:val="22"/>
        </w:rPr>
        <w:t xml:space="preserve">Piano della performance </w:t>
      </w:r>
      <w:r w:rsidR="00F07C37">
        <w:rPr>
          <w:rFonts w:asciiTheme="minorHAnsi" w:hAnsiTheme="minorHAnsi"/>
          <w:iCs/>
          <w:sz w:val="22"/>
          <w:szCs w:val="22"/>
        </w:rPr>
        <w:t xml:space="preserve">che è stato realizzato nei tempi dovuti </w:t>
      </w:r>
      <w:r w:rsidR="00224A3C">
        <w:rPr>
          <w:rFonts w:asciiTheme="minorHAnsi" w:hAnsiTheme="minorHAnsi"/>
          <w:iCs/>
          <w:sz w:val="22"/>
          <w:szCs w:val="22"/>
        </w:rPr>
        <w:t xml:space="preserve">in quanto per il 2022 vi è stata l’introduzione del PIAO che ne ha posticipato l’adozione, in considerazione che lo stesso era in prima applicazione. Stante l’incertezza normativa circa l’adozione del PIAO che si è protratta fino all’ultimo, l’Istituto ha deciso di adottare il Piano della Performance con la determina DGEN 192/2022 del 29 aprile 2022, fermo restando che </w:t>
      </w:r>
      <w:r w:rsidR="00224A3C">
        <w:rPr>
          <w:rFonts w:asciiTheme="minorHAnsi" w:hAnsiTheme="minorHAnsi"/>
          <w:sz w:val="22"/>
          <w:szCs w:val="22"/>
        </w:rPr>
        <w:t>n</w:t>
      </w:r>
      <w:r w:rsidR="00122FCD">
        <w:rPr>
          <w:rFonts w:asciiTheme="minorHAnsi" w:hAnsiTheme="minorHAnsi"/>
          <w:sz w:val="22"/>
          <w:szCs w:val="22"/>
        </w:rPr>
        <w:t xml:space="preserve">ello specifico il processo si è sviluppato attraverso </w:t>
      </w:r>
      <w:r w:rsidR="001C52DA" w:rsidRPr="001C52DA">
        <w:rPr>
          <w:rFonts w:asciiTheme="minorHAnsi" w:hAnsiTheme="minorHAnsi"/>
          <w:sz w:val="22"/>
          <w:szCs w:val="22"/>
        </w:rPr>
        <w:t>l’invio</w:t>
      </w:r>
      <w:r w:rsidR="00783CBE">
        <w:rPr>
          <w:rFonts w:asciiTheme="minorHAnsi" w:hAnsiTheme="minorHAnsi"/>
          <w:sz w:val="22"/>
          <w:szCs w:val="22"/>
        </w:rPr>
        <w:t xml:space="preserve"> delle linee guida del budget, </w:t>
      </w:r>
      <w:r w:rsidR="001C52DA" w:rsidRPr="001C52DA">
        <w:rPr>
          <w:rFonts w:asciiTheme="minorHAnsi" w:hAnsiTheme="minorHAnsi"/>
          <w:sz w:val="22"/>
          <w:szCs w:val="22"/>
        </w:rPr>
        <w:t xml:space="preserve">la convocazione </w:t>
      </w:r>
      <w:r w:rsidR="00E7616F">
        <w:rPr>
          <w:rFonts w:asciiTheme="minorHAnsi" w:hAnsiTheme="minorHAnsi"/>
          <w:sz w:val="22"/>
          <w:szCs w:val="22"/>
        </w:rPr>
        <w:t>degli incontri</w:t>
      </w:r>
      <w:r w:rsidR="001C52DA" w:rsidRPr="001C52DA">
        <w:rPr>
          <w:rFonts w:asciiTheme="minorHAnsi" w:hAnsiTheme="minorHAnsi"/>
          <w:sz w:val="22"/>
          <w:szCs w:val="22"/>
        </w:rPr>
        <w:t xml:space="preserve"> di budget da parte della Direzione G</w:t>
      </w:r>
      <w:r w:rsidR="009B7D7D">
        <w:rPr>
          <w:rFonts w:asciiTheme="minorHAnsi" w:hAnsiTheme="minorHAnsi"/>
          <w:sz w:val="22"/>
          <w:szCs w:val="22"/>
        </w:rPr>
        <w:t>enerale</w:t>
      </w:r>
      <w:r w:rsidR="00783CBE">
        <w:rPr>
          <w:rFonts w:asciiTheme="minorHAnsi" w:hAnsiTheme="minorHAnsi"/>
          <w:sz w:val="22"/>
          <w:szCs w:val="22"/>
        </w:rPr>
        <w:t xml:space="preserve"> e l’avvio dei medesimi incontri</w:t>
      </w:r>
      <w:r w:rsidR="00224A3C">
        <w:rPr>
          <w:rFonts w:asciiTheme="minorHAnsi" w:hAnsiTheme="minorHAnsi"/>
          <w:sz w:val="22"/>
          <w:szCs w:val="22"/>
        </w:rPr>
        <w:t>, sin dai primi mesi dell’anno.</w:t>
      </w:r>
    </w:p>
    <w:p w:rsidR="001C52DA" w:rsidRDefault="00122FCD" w:rsidP="00224A3C">
      <w:pPr>
        <w:pStyle w:val="Default"/>
        <w:jc w:val="both"/>
        <w:rPr>
          <w:rFonts w:ascii="Calibri" w:hAnsi="Calibri"/>
          <w:color w:val="auto"/>
          <w:sz w:val="22"/>
          <w:szCs w:val="22"/>
        </w:rPr>
      </w:pPr>
      <w:r>
        <w:rPr>
          <w:rFonts w:asciiTheme="minorHAnsi" w:hAnsiTheme="minorHAnsi"/>
          <w:sz w:val="22"/>
          <w:szCs w:val="22"/>
        </w:rPr>
        <w:t>Nel corso del 202</w:t>
      </w:r>
      <w:r w:rsidR="00224A3C">
        <w:rPr>
          <w:rFonts w:asciiTheme="minorHAnsi" w:hAnsiTheme="minorHAnsi"/>
          <w:sz w:val="22"/>
          <w:szCs w:val="22"/>
        </w:rPr>
        <w:t>2</w:t>
      </w:r>
      <w:r w:rsidR="00783CBE">
        <w:rPr>
          <w:rFonts w:asciiTheme="minorHAnsi" w:hAnsiTheme="minorHAnsi"/>
          <w:sz w:val="22"/>
          <w:szCs w:val="22"/>
        </w:rPr>
        <w:t xml:space="preserve"> alla fine non è stata</w:t>
      </w:r>
      <w:r w:rsidR="001C52DA">
        <w:rPr>
          <w:rFonts w:asciiTheme="minorHAnsi" w:hAnsiTheme="minorHAnsi"/>
          <w:sz w:val="22"/>
          <w:szCs w:val="22"/>
        </w:rPr>
        <w:t xml:space="preserve"> rispettata la scadenza di assegnazione degli obiettivi </w:t>
      </w:r>
      <w:r w:rsidR="00783CBE">
        <w:rPr>
          <w:rFonts w:asciiTheme="minorHAnsi" w:hAnsiTheme="minorHAnsi"/>
          <w:sz w:val="22"/>
          <w:szCs w:val="22"/>
        </w:rPr>
        <w:t xml:space="preserve">entro il 30 aprile sia per la parte relativa alla scheda di valutazione individuale sia perché il </w:t>
      </w:r>
      <w:r w:rsidR="001C52DA">
        <w:rPr>
          <w:rFonts w:asciiTheme="minorHAnsi" w:hAnsiTheme="minorHAnsi"/>
          <w:sz w:val="22"/>
          <w:szCs w:val="22"/>
        </w:rPr>
        <w:t xml:space="preserve">processo di negoziazione e assegnazione degli obiettivi di budget per UO </w:t>
      </w:r>
      <w:r w:rsidR="00783CBE">
        <w:rPr>
          <w:rFonts w:asciiTheme="minorHAnsi" w:hAnsiTheme="minorHAnsi"/>
          <w:sz w:val="22"/>
          <w:szCs w:val="22"/>
        </w:rPr>
        <w:t xml:space="preserve">(schede di budget) </w:t>
      </w:r>
      <w:r w:rsidR="001C52DA">
        <w:rPr>
          <w:rFonts w:asciiTheme="minorHAnsi" w:hAnsiTheme="minorHAnsi"/>
          <w:sz w:val="22"/>
          <w:szCs w:val="22"/>
        </w:rPr>
        <w:t xml:space="preserve">che </w:t>
      </w:r>
      <w:r w:rsidR="00783CBE">
        <w:rPr>
          <w:rFonts w:asciiTheme="minorHAnsi" w:hAnsiTheme="minorHAnsi"/>
          <w:sz w:val="22"/>
          <w:szCs w:val="22"/>
        </w:rPr>
        <w:t>doveva completare</w:t>
      </w:r>
      <w:r w:rsidR="001C52DA">
        <w:rPr>
          <w:rFonts w:asciiTheme="minorHAnsi" w:hAnsiTheme="minorHAnsi"/>
          <w:sz w:val="22"/>
          <w:szCs w:val="22"/>
        </w:rPr>
        <w:t xml:space="preserve"> il processo di de</w:t>
      </w:r>
      <w:r w:rsidR="003F0836">
        <w:rPr>
          <w:rFonts w:asciiTheme="minorHAnsi" w:hAnsiTheme="minorHAnsi"/>
          <w:sz w:val="22"/>
          <w:szCs w:val="22"/>
        </w:rPr>
        <w:t xml:space="preserve">finizione degli obiettivi </w:t>
      </w:r>
      <w:proofErr w:type="spellStart"/>
      <w:r w:rsidR="003F0836">
        <w:rPr>
          <w:rFonts w:asciiTheme="minorHAnsi" w:hAnsiTheme="minorHAnsi"/>
          <w:sz w:val="22"/>
          <w:szCs w:val="22"/>
        </w:rPr>
        <w:t>Inrca</w:t>
      </w:r>
      <w:proofErr w:type="spellEnd"/>
      <w:r>
        <w:rPr>
          <w:rFonts w:asciiTheme="minorHAnsi" w:hAnsiTheme="minorHAnsi"/>
          <w:sz w:val="22"/>
          <w:szCs w:val="22"/>
        </w:rPr>
        <w:t xml:space="preserve"> stante </w:t>
      </w:r>
      <w:r w:rsidR="00224A3C">
        <w:rPr>
          <w:rFonts w:asciiTheme="minorHAnsi" w:hAnsiTheme="minorHAnsi"/>
          <w:sz w:val="22"/>
          <w:szCs w:val="22"/>
        </w:rPr>
        <w:t>la conclusione dell’</w:t>
      </w:r>
      <w:r>
        <w:rPr>
          <w:rFonts w:asciiTheme="minorHAnsi" w:hAnsiTheme="minorHAnsi"/>
          <w:sz w:val="22"/>
          <w:szCs w:val="22"/>
        </w:rPr>
        <w:t>emergenza pandemica</w:t>
      </w:r>
      <w:r w:rsidR="007975E1">
        <w:rPr>
          <w:rFonts w:asciiTheme="minorHAnsi" w:hAnsiTheme="minorHAnsi"/>
          <w:sz w:val="22"/>
          <w:szCs w:val="22"/>
        </w:rPr>
        <w:t>, come sopra già indicato</w:t>
      </w:r>
      <w:r w:rsidR="001C52DA">
        <w:rPr>
          <w:rFonts w:asciiTheme="minorHAnsi" w:hAnsiTheme="minorHAnsi"/>
          <w:sz w:val="22"/>
          <w:szCs w:val="22"/>
        </w:rPr>
        <w:t>.</w:t>
      </w:r>
      <w:r w:rsidR="00224A3C">
        <w:rPr>
          <w:rFonts w:asciiTheme="minorHAnsi" w:hAnsiTheme="minorHAnsi"/>
          <w:sz w:val="22"/>
          <w:szCs w:val="22"/>
        </w:rPr>
        <w:t xml:space="preserve"> Ad ogni buon conto </w:t>
      </w:r>
      <w:r>
        <w:rPr>
          <w:rFonts w:ascii="Calibri" w:hAnsi="Calibri"/>
          <w:color w:val="auto"/>
          <w:sz w:val="22"/>
          <w:szCs w:val="22"/>
        </w:rPr>
        <w:t xml:space="preserve">il percorso che ha trovato la sua conclusione </w:t>
      </w:r>
      <w:r w:rsidR="00224A3C">
        <w:rPr>
          <w:rFonts w:ascii="Calibri" w:hAnsi="Calibri"/>
          <w:color w:val="auto"/>
          <w:sz w:val="22"/>
          <w:szCs w:val="22"/>
        </w:rPr>
        <w:t>con i</w:t>
      </w:r>
      <w:r>
        <w:rPr>
          <w:rFonts w:ascii="Calibri" w:hAnsi="Calibri"/>
          <w:color w:val="auto"/>
          <w:sz w:val="22"/>
          <w:szCs w:val="22"/>
        </w:rPr>
        <w:t xml:space="preserve">l </w:t>
      </w:r>
      <w:r w:rsidR="00730407" w:rsidRPr="00730407">
        <w:rPr>
          <w:rFonts w:ascii="Calibri" w:hAnsi="Calibri"/>
          <w:color w:val="auto"/>
          <w:sz w:val="22"/>
          <w:szCs w:val="22"/>
        </w:rPr>
        <w:t>master budget aziendale</w:t>
      </w:r>
      <w:r>
        <w:rPr>
          <w:rFonts w:ascii="Calibri" w:hAnsi="Calibri"/>
          <w:color w:val="auto"/>
          <w:sz w:val="22"/>
          <w:szCs w:val="22"/>
        </w:rPr>
        <w:t xml:space="preserve"> </w:t>
      </w:r>
      <w:r w:rsidR="00224A3C">
        <w:rPr>
          <w:rFonts w:ascii="Calibri" w:hAnsi="Calibri"/>
          <w:color w:val="auto"/>
          <w:sz w:val="22"/>
          <w:szCs w:val="22"/>
        </w:rPr>
        <w:t xml:space="preserve">in tempi comunque migliorati rispetto agli anni precedenti </w:t>
      </w:r>
      <w:r>
        <w:rPr>
          <w:rFonts w:ascii="Calibri" w:hAnsi="Calibri"/>
          <w:color w:val="auto"/>
          <w:sz w:val="22"/>
          <w:szCs w:val="22"/>
        </w:rPr>
        <w:t>(</w:t>
      </w:r>
      <w:r w:rsidR="007975E1">
        <w:rPr>
          <w:rFonts w:ascii="Calibri" w:hAnsi="Calibri"/>
          <w:color w:val="auto"/>
          <w:sz w:val="22"/>
          <w:szCs w:val="22"/>
        </w:rPr>
        <w:t xml:space="preserve">DGEN </w:t>
      </w:r>
      <w:r w:rsidR="00224A3C">
        <w:rPr>
          <w:rFonts w:ascii="Calibri" w:hAnsi="Calibri"/>
          <w:color w:val="auto"/>
          <w:sz w:val="22"/>
          <w:szCs w:val="22"/>
        </w:rPr>
        <w:t>321 del 01</w:t>
      </w:r>
      <w:r w:rsidR="007975E1">
        <w:rPr>
          <w:rFonts w:ascii="Calibri" w:hAnsi="Calibri"/>
          <w:color w:val="auto"/>
          <w:sz w:val="22"/>
          <w:szCs w:val="22"/>
        </w:rPr>
        <w:t xml:space="preserve"> </w:t>
      </w:r>
      <w:r w:rsidR="00224A3C">
        <w:rPr>
          <w:rFonts w:ascii="Calibri" w:hAnsi="Calibri"/>
          <w:color w:val="auto"/>
          <w:sz w:val="22"/>
          <w:szCs w:val="22"/>
        </w:rPr>
        <w:t>luglio</w:t>
      </w:r>
      <w:r w:rsidR="007975E1">
        <w:rPr>
          <w:rFonts w:ascii="Calibri" w:hAnsi="Calibri"/>
          <w:color w:val="auto"/>
          <w:sz w:val="22"/>
          <w:szCs w:val="22"/>
        </w:rPr>
        <w:t xml:space="preserve"> </w:t>
      </w:r>
      <w:r>
        <w:rPr>
          <w:rFonts w:ascii="Calibri" w:hAnsi="Calibri"/>
          <w:color w:val="auto"/>
          <w:sz w:val="22"/>
          <w:szCs w:val="22"/>
        </w:rPr>
        <w:t>202</w:t>
      </w:r>
      <w:r w:rsidR="00224A3C">
        <w:rPr>
          <w:rFonts w:ascii="Calibri" w:hAnsi="Calibri"/>
          <w:color w:val="auto"/>
          <w:sz w:val="22"/>
          <w:szCs w:val="22"/>
        </w:rPr>
        <w:t>2</w:t>
      </w:r>
      <w:r>
        <w:rPr>
          <w:rFonts w:ascii="Calibri" w:hAnsi="Calibri"/>
          <w:color w:val="auto"/>
          <w:sz w:val="22"/>
          <w:szCs w:val="22"/>
        </w:rPr>
        <w:t>)</w:t>
      </w:r>
      <w:r w:rsidR="006B163C">
        <w:rPr>
          <w:rFonts w:ascii="Calibri" w:hAnsi="Calibri"/>
          <w:color w:val="auto"/>
          <w:sz w:val="22"/>
          <w:szCs w:val="22"/>
        </w:rPr>
        <w:t>.</w:t>
      </w:r>
    </w:p>
    <w:p w:rsidR="00730407" w:rsidRPr="00730407" w:rsidRDefault="00730407" w:rsidP="00ED23E3">
      <w:pPr>
        <w:pStyle w:val="Default"/>
        <w:jc w:val="both"/>
        <w:rPr>
          <w:rFonts w:asciiTheme="minorHAnsi" w:hAnsiTheme="minorHAnsi"/>
          <w:color w:val="auto"/>
          <w:sz w:val="22"/>
          <w:szCs w:val="22"/>
        </w:rPr>
      </w:pPr>
    </w:p>
    <w:p w:rsidR="00C74B7C" w:rsidRDefault="00122FCD" w:rsidP="008A6656">
      <w:pPr>
        <w:pStyle w:val="Default"/>
        <w:jc w:val="both"/>
        <w:rPr>
          <w:rFonts w:asciiTheme="minorHAnsi" w:hAnsiTheme="minorHAnsi"/>
          <w:sz w:val="22"/>
          <w:szCs w:val="22"/>
        </w:rPr>
      </w:pPr>
      <w:r>
        <w:rPr>
          <w:rFonts w:asciiTheme="minorHAnsi" w:hAnsiTheme="minorHAnsi"/>
          <w:sz w:val="22"/>
          <w:szCs w:val="22"/>
        </w:rPr>
        <w:t>I</w:t>
      </w:r>
      <w:r w:rsidR="00C74B7C">
        <w:rPr>
          <w:rFonts w:asciiTheme="minorHAnsi" w:hAnsiTheme="minorHAnsi"/>
          <w:sz w:val="22"/>
          <w:szCs w:val="22"/>
        </w:rPr>
        <w:t>l percorso</w:t>
      </w:r>
      <w:r>
        <w:rPr>
          <w:rFonts w:asciiTheme="minorHAnsi" w:hAnsiTheme="minorHAnsi"/>
          <w:sz w:val="22"/>
          <w:szCs w:val="22"/>
        </w:rPr>
        <w:t xml:space="preserve">, in considerazione della </w:t>
      </w:r>
      <w:r w:rsidR="00224A3C">
        <w:rPr>
          <w:rFonts w:asciiTheme="minorHAnsi" w:hAnsiTheme="minorHAnsi"/>
          <w:sz w:val="22"/>
          <w:szCs w:val="22"/>
        </w:rPr>
        <w:t>presenza</w:t>
      </w:r>
      <w:r>
        <w:rPr>
          <w:rFonts w:asciiTheme="minorHAnsi" w:hAnsiTheme="minorHAnsi"/>
          <w:sz w:val="22"/>
          <w:szCs w:val="22"/>
        </w:rPr>
        <w:t xml:space="preserve"> di obiettivi economici </w:t>
      </w:r>
      <w:r w:rsidR="007504DF">
        <w:rPr>
          <w:rFonts w:asciiTheme="minorHAnsi" w:hAnsiTheme="minorHAnsi"/>
          <w:sz w:val="22"/>
          <w:szCs w:val="22"/>
        </w:rPr>
        <w:t>per il 202</w:t>
      </w:r>
      <w:r w:rsidR="00224A3C">
        <w:rPr>
          <w:rFonts w:asciiTheme="minorHAnsi" w:hAnsiTheme="minorHAnsi"/>
          <w:sz w:val="22"/>
          <w:szCs w:val="22"/>
        </w:rPr>
        <w:t>2</w:t>
      </w:r>
      <w:r w:rsidR="007504DF">
        <w:rPr>
          <w:rFonts w:asciiTheme="minorHAnsi" w:hAnsiTheme="minorHAnsi"/>
          <w:sz w:val="22"/>
          <w:szCs w:val="22"/>
        </w:rPr>
        <w:t xml:space="preserve"> </w:t>
      </w:r>
      <w:r>
        <w:rPr>
          <w:rFonts w:asciiTheme="minorHAnsi" w:hAnsiTheme="minorHAnsi"/>
          <w:sz w:val="22"/>
          <w:szCs w:val="22"/>
        </w:rPr>
        <w:t>che risentono dei tempi</w:t>
      </w:r>
      <w:r w:rsidR="007504DF">
        <w:rPr>
          <w:rFonts w:asciiTheme="minorHAnsi" w:hAnsiTheme="minorHAnsi"/>
          <w:sz w:val="22"/>
          <w:szCs w:val="22"/>
        </w:rPr>
        <w:t xml:space="preserve"> di conclusione</w:t>
      </w:r>
      <w:r>
        <w:rPr>
          <w:rFonts w:asciiTheme="minorHAnsi" w:hAnsiTheme="minorHAnsi"/>
          <w:sz w:val="22"/>
          <w:szCs w:val="22"/>
        </w:rPr>
        <w:t xml:space="preserve"> del bilancio consuntivo</w:t>
      </w:r>
      <w:r w:rsidR="007504DF">
        <w:rPr>
          <w:rFonts w:asciiTheme="minorHAnsi" w:hAnsiTheme="minorHAnsi"/>
          <w:sz w:val="22"/>
          <w:szCs w:val="22"/>
        </w:rPr>
        <w:t xml:space="preserve"> </w:t>
      </w:r>
      <w:r w:rsidR="00224A3C">
        <w:rPr>
          <w:rFonts w:asciiTheme="minorHAnsi" w:hAnsiTheme="minorHAnsi"/>
          <w:sz w:val="22"/>
          <w:szCs w:val="22"/>
        </w:rPr>
        <w:t xml:space="preserve">previsto per il 31 maggio 2023 </w:t>
      </w:r>
      <w:r w:rsidR="007504DF">
        <w:rPr>
          <w:rFonts w:asciiTheme="minorHAnsi" w:hAnsiTheme="minorHAnsi"/>
          <w:sz w:val="22"/>
          <w:szCs w:val="22"/>
        </w:rPr>
        <w:t xml:space="preserve">e </w:t>
      </w:r>
      <w:r w:rsidR="00224A3C">
        <w:rPr>
          <w:rFonts w:asciiTheme="minorHAnsi" w:hAnsiTheme="minorHAnsi"/>
          <w:sz w:val="22"/>
          <w:szCs w:val="22"/>
        </w:rPr>
        <w:t xml:space="preserve">che </w:t>
      </w:r>
      <w:r w:rsidR="007504DF">
        <w:rPr>
          <w:rFonts w:asciiTheme="minorHAnsi" w:hAnsiTheme="minorHAnsi"/>
          <w:sz w:val="22"/>
          <w:szCs w:val="22"/>
        </w:rPr>
        <w:t>quindi protraggono la tempistica dell’analisi delle performance,</w:t>
      </w:r>
      <w:r w:rsidR="00C74B7C">
        <w:rPr>
          <w:rFonts w:asciiTheme="minorHAnsi" w:hAnsiTheme="minorHAnsi"/>
          <w:sz w:val="22"/>
          <w:szCs w:val="22"/>
        </w:rPr>
        <w:t xml:space="preserve"> </w:t>
      </w:r>
      <w:r w:rsidR="00224A3C">
        <w:rPr>
          <w:rFonts w:asciiTheme="minorHAnsi" w:hAnsiTheme="minorHAnsi"/>
          <w:sz w:val="22"/>
          <w:szCs w:val="22"/>
        </w:rPr>
        <w:t xml:space="preserve">non </w:t>
      </w:r>
      <w:r w:rsidR="007504DF">
        <w:rPr>
          <w:rFonts w:asciiTheme="minorHAnsi" w:hAnsiTheme="minorHAnsi"/>
          <w:sz w:val="22"/>
          <w:szCs w:val="22"/>
        </w:rPr>
        <w:t xml:space="preserve">ha </w:t>
      </w:r>
      <w:r w:rsidR="00224A3C">
        <w:rPr>
          <w:rFonts w:asciiTheme="minorHAnsi" w:hAnsiTheme="minorHAnsi"/>
          <w:sz w:val="22"/>
          <w:szCs w:val="22"/>
        </w:rPr>
        <w:t xml:space="preserve">ancora </w:t>
      </w:r>
      <w:r w:rsidR="007504DF">
        <w:rPr>
          <w:rFonts w:asciiTheme="minorHAnsi" w:hAnsiTheme="minorHAnsi"/>
          <w:sz w:val="22"/>
          <w:szCs w:val="22"/>
        </w:rPr>
        <w:t>trovato</w:t>
      </w:r>
      <w:r w:rsidR="00C74B7C">
        <w:rPr>
          <w:rFonts w:asciiTheme="minorHAnsi" w:hAnsiTheme="minorHAnsi"/>
          <w:sz w:val="22"/>
          <w:szCs w:val="22"/>
        </w:rPr>
        <w:t xml:space="preserve"> la sua conclusione</w:t>
      </w:r>
      <w:r w:rsidR="00224A3C">
        <w:rPr>
          <w:rFonts w:asciiTheme="minorHAnsi" w:hAnsiTheme="minorHAnsi"/>
          <w:sz w:val="22"/>
          <w:szCs w:val="22"/>
        </w:rPr>
        <w:t>.</w:t>
      </w:r>
    </w:p>
    <w:p w:rsidR="006B163C" w:rsidRDefault="006B163C" w:rsidP="00ED23E3">
      <w:pPr>
        <w:pStyle w:val="Default"/>
        <w:jc w:val="both"/>
        <w:rPr>
          <w:rFonts w:asciiTheme="minorHAnsi" w:hAnsiTheme="minorHAnsi"/>
          <w:sz w:val="22"/>
          <w:szCs w:val="22"/>
        </w:rPr>
      </w:pPr>
    </w:p>
    <w:p w:rsidR="00C74B7C" w:rsidRDefault="00C74B7C" w:rsidP="00ED23E3">
      <w:pPr>
        <w:pStyle w:val="Default"/>
        <w:jc w:val="both"/>
        <w:rPr>
          <w:rFonts w:asciiTheme="minorHAnsi" w:hAnsiTheme="minorHAnsi"/>
          <w:sz w:val="22"/>
          <w:szCs w:val="22"/>
        </w:rPr>
      </w:pPr>
    </w:p>
    <w:p w:rsidR="00C74B7C" w:rsidRDefault="00C74B7C" w:rsidP="00ED23E3">
      <w:pPr>
        <w:pStyle w:val="Default"/>
        <w:jc w:val="both"/>
        <w:rPr>
          <w:rFonts w:asciiTheme="minorHAnsi" w:hAnsiTheme="minorHAnsi"/>
          <w:sz w:val="22"/>
          <w:szCs w:val="22"/>
        </w:rPr>
      </w:pPr>
    </w:p>
    <w:p w:rsidR="00551055" w:rsidRPr="005F4F27" w:rsidRDefault="00551055" w:rsidP="00551055">
      <w:pPr>
        <w:pStyle w:val="Titolo1"/>
        <w:numPr>
          <w:ilvl w:val="0"/>
          <w:numId w:val="1"/>
        </w:numPr>
        <w:tabs>
          <w:tab w:val="num" w:pos="432"/>
          <w:tab w:val="num" w:pos="540"/>
        </w:tabs>
        <w:ind w:left="432" w:hanging="432"/>
        <w:jc w:val="left"/>
        <w:rPr>
          <w:rFonts w:asciiTheme="minorHAnsi" w:hAnsiTheme="minorHAnsi"/>
          <w:sz w:val="24"/>
          <w:szCs w:val="24"/>
        </w:rPr>
      </w:pPr>
      <w:bookmarkStart w:id="5" w:name="_Toc70581322"/>
      <w:r>
        <w:rPr>
          <w:rFonts w:asciiTheme="minorHAnsi" w:hAnsiTheme="minorHAnsi"/>
          <w:sz w:val="24"/>
          <w:szCs w:val="24"/>
        </w:rPr>
        <w:lastRenderedPageBreak/>
        <w:t>Infrastruttura di supporto</w:t>
      </w:r>
      <w:bookmarkEnd w:id="5"/>
      <w:r w:rsidRPr="005F4F27">
        <w:rPr>
          <w:rFonts w:asciiTheme="minorHAnsi" w:hAnsiTheme="minorHAnsi"/>
          <w:sz w:val="24"/>
          <w:szCs w:val="24"/>
        </w:rPr>
        <w:t xml:space="preserve"> </w:t>
      </w:r>
    </w:p>
    <w:p w:rsidR="00045951" w:rsidRPr="00045951" w:rsidRDefault="00045951" w:rsidP="00045951">
      <w:pPr>
        <w:pStyle w:val="Default"/>
        <w:jc w:val="both"/>
        <w:rPr>
          <w:rFonts w:asciiTheme="minorHAnsi" w:hAnsiTheme="minorHAnsi"/>
          <w:sz w:val="22"/>
          <w:szCs w:val="22"/>
        </w:rPr>
      </w:pPr>
      <w:r w:rsidRPr="00045951">
        <w:rPr>
          <w:rFonts w:asciiTheme="minorHAnsi" w:hAnsiTheme="minorHAnsi"/>
          <w:sz w:val="22"/>
          <w:szCs w:val="22"/>
        </w:rPr>
        <w:t xml:space="preserve">Il sistema informativo a supporto della gestione riveste un ruolo strategico </w:t>
      </w:r>
      <w:r w:rsidR="0083476D">
        <w:rPr>
          <w:rFonts w:asciiTheme="minorHAnsi" w:hAnsiTheme="minorHAnsi"/>
          <w:sz w:val="22"/>
          <w:szCs w:val="22"/>
        </w:rPr>
        <w:t>per</w:t>
      </w:r>
      <w:r w:rsidRPr="00045951">
        <w:rPr>
          <w:rFonts w:asciiTheme="minorHAnsi" w:hAnsiTheme="minorHAnsi"/>
          <w:sz w:val="22"/>
          <w:szCs w:val="22"/>
        </w:rPr>
        <w:t xml:space="preserve"> misurare e valutare le performance e consentire di prendere decisioni consapevoli.</w:t>
      </w:r>
      <w:r w:rsidR="008751D1">
        <w:rPr>
          <w:rFonts w:asciiTheme="minorHAnsi" w:hAnsiTheme="minorHAnsi"/>
          <w:sz w:val="22"/>
          <w:szCs w:val="22"/>
        </w:rPr>
        <w:t xml:space="preserve"> L</w:t>
      </w:r>
      <w:r w:rsidR="0083476D">
        <w:rPr>
          <w:rFonts w:asciiTheme="minorHAnsi" w:hAnsiTheme="minorHAnsi"/>
          <w:sz w:val="22"/>
          <w:szCs w:val="22"/>
        </w:rPr>
        <w:t xml:space="preserve">a </w:t>
      </w:r>
      <w:r w:rsidRPr="00045951">
        <w:rPr>
          <w:rFonts w:asciiTheme="minorHAnsi" w:hAnsiTheme="minorHAnsi"/>
          <w:sz w:val="22"/>
          <w:szCs w:val="22"/>
        </w:rPr>
        <w:t>complessità organizzativa (</w:t>
      </w:r>
      <w:r>
        <w:rPr>
          <w:rFonts w:asciiTheme="minorHAnsi" w:hAnsiTheme="minorHAnsi"/>
          <w:sz w:val="22"/>
          <w:szCs w:val="22"/>
        </w:rPr>
        <w:t xml:space="preserve">multi </w:t>
      </w:r>
      <w:proofErr w:type="spellStart"/>
      <w:r>
        <w:rPr>
          <w:rFonts w:asciiTheme="minorHAnsi" w:hAnsiTheme="minorHAnsi"/>
          <w:sz w:val="22"/>
          <w:szCs w:val="22"/>
        </w:rPr>
        <w:t>regionalità</w:t>
      </w:r>
      <w:proofErr w:type="spellEnd"/>
      <w:r>
        <w:rPr>
          <w:rFonts w:asciiTheme="minorHAnsi" w:hAnsiTheme="minorHAnsi"/>
          <w:sz w:val="22"/>
          <w:szCs w:val="22"/>
        </w:rPr>
        <w:t xml:space="preserve"> in un contesto di azienda unica, numerosità dei Presidi in relazione alla dimensione aziendale</w:t>
      </w:r>
      <w:r w:rsidRPr="00045951">
        <w:rPr>
          <w:rFonts w:asciiTheme="minorHAnsi" w:hAnsiTheme="minorHAnsi"/>
          <w:sz w:val="22"/>
          <w:szCs w:val="22"/>
        </w:rPr>
        <w:t xml:space="preserve">) e le caratteristiche dell’ambiente in cui </w:t>
      </w:r>
      <w:proofErr w:type="spellStart"/>
      <w:r w:rsidRPr="00045951">
        <w:rPr>
          <w:rFonts w:asciiTheme="minorHAnsi" w:hAnsiTheme="minorHAnsi"/>
          <w:sz w:val="22"/>
          <w:szCs w:val="22"/>
        </w:rPr>
        <w:t>l’</w:t>
      </w:r>
      <w:r>
        <w:rPr>
          <w:rFonts w:asciiTheme="minorHAnsi" w:hAnsiTheme="minorHAnsi"/>
          <w:sz w:val="22"/>
          <w:szCs w:val="22"/>
        </w:rPr>
        <w:t>Inrca</w:t>
      </w:r>
      <w:proofErr w:type="spellEnd"/>
      <w:r w:rsidRPr="00045951">
        <w:rPr>
          <w:rFonts w:asciiTheme="minorHAnsi" w:hAnsiTheme="minorHAnsi"/>
          <w:sz w:val="22"/>
          <w:szCs w:val="22"/>
        </w:rPr>
        <w:t xml:space="preserve"> opera (elevato grado di variabilità e velocità di variazione e basso grado di prevedibilità) rendono necessario disporre di strumenti di governo che possano fare affidamento sulla tempestiva e adeguata disponibilità di informazioni utili.</w:t>
      </w:r>
    </w:p>
    <w:p w:rsidR="00045951" w:rsidRDefault="00045951" w:rsidP="00045951">
      <w:pPr>
        <w:pStyle w:val="Default"/>
        <w:jc w:val="both"/>
        <w:rPr>
          <w:rFonts w:asciiTheme="minorHAnsi" w:hAnsiTheme="minorHAnsi"/>
          <w:sz w:val="22"/>
          <w:szCs w:val="22"/>
        </w:rPr>
      </w:pPr>
      <w:r w:rsidRPr="00045951">
        <w:rPr>
          <w:rFonts w:asciiTheme="minorHAnsi" w:hAnsiTheme="minorHAnsi"/>
          <w:sz w:val="22"/>
          <w:szCs w:val="22"/>
        </w:rPr>
        <w:t>L’U</w:t>
      </w:r>
      <w:r>
        <w:rPr>
          <w:rFonts w:asciiTheme="minorHAnsi" w:hAnsiTheme="minorHAnsi"/>
          <w:sz w:val="22"/>
          <w:szCs w:val="22"/>
        </w:rPr>
        <w:t xml:space="preserve">O Controllo di gestione ha </w:t>
      </w:r>
      <w:r w:rsidRPr="00045951">
        <w:rPr>
          <w:rFonts w:asciiTheme="minorHAnsi" w:hAnsiTheme="minorHAnsi"/>
          <w:sz w:val="22"/>
        </w:rPr>
        <w:t>supportato la Direzione Aziendale per la gestione del budget (</w:t>
      </w:r>
      <w:r>
        <w:rPr>
          <w:rFonts w:asciiTheme="minorHAnsi" w:hAnsiTheme="minorHAnsi"/>
          <w:sz w:val="22"/>
        </w:rPr>
        <w:t xml:space="preserve">supporto alla </w:t>
      </w:r>
      <w:r w:rsidRPr="00045951">
        <w:rPr>
          <w:rFonts w:asciiTheme="minorHAnsi" w:hAnsiTheme="minorHAnsi"/>
          <w:sz w:val="22"/>
        </w:rPr>
        <w:t>pred</w:t>
      </w:r>
      <w:r>
        <w:rPr>
          <w:rFonts w:asciiTheme="minorHAnsi" w:hAnsiTheme="minorHAnsi"/>
          <w:sz w:val="22"/>
        </w:rPr>
        <w:t xml:space="preserve">isposizione del Piano </w:t>
      </w:r>
      <w:r w:rsidRPr="00045951">
        <w:rPr>
          <w:rFonts w:asciiTheme="minorHAnsi" w:hAnsiTheme="minorHAnsi"/>
          <w:sz w:val="22"/>
          <w:szCs w:val="22"/>
        </w:rPr>
        <w:t>delle Performance e delle linee guida aziendali, supporto alla predisposizione della bozza di obiettivi annuali di azienda e di un set di obiettivi per ogni U.O., monitoraggio degli indicatori relativi agli obiettivi concordati, consulenza continua a favore dei responsabili di U.O.), ha elaborato dati di costo e di produzione, per giungere alla elaborazione delle informazioni utili per indirizzare le scelte operative, ha predisposto reportistica “personalizzata” per i diversi livelli dirigenziali</w:t>
      </w:r>
      <w:r>
        <w:rPr>
          <w:rFonts w:asciiTheme="minorHAnsi" w:hAnsiTheme="minorHAnsi"/>
          <w:sz w:val="22"/>
          <w:szCs w:val="22"/>
        </w:rPr>
        <w:t>.</w:t>
      </w:r>
    </w:p>
    <w:p w:rsidR="009432CC" w:rsidRDefault="008751D1" w:rsidP="00045951">
      <w:pPr>
        <w:pStyle w:val="Default"/>
        <w:jc w:val="both"/>
        <w:rPr>
          <w:rFonts w:asciiTheme="minorHAnsi" w:hAnsiTheme="minorHAnsi"/>
          <w:sz w:val="22"/>
          <w:szCs w:val="22"/>
        </w:rPr>
      </w:pPr>
      <w:r>
        <w:rPr>
          <w:rFonts w:asciiTheme="minorHAnsi" w:hAnsiTheme="minorHAnsi"/>
          <w:sz w:val="22"/>
          <w:szCs w:val="22"/>
        </w:rPr>
        <w:t>Si ribadisce che l</w:t>
      </w:r>
      <w:r w:rsidR="009432CC" w:rsidRPr="009432CC">
        <w:rPr>
          <w:rFonts w:asciiTheme="minorHAnsi" w:hAnsiTheme="minorHAnsi"/>
          <w:sz w:val="22"/>
          <w:szCs w:val="22"/>
        </w:rPr>
        <w:t>a complessità del sistema degli obiettivi di budget rende opportuno valutare la possibilità di sviluppo di una gestione informatizzata, questo consentirebbe una migliore gestione dell'intero percorso, specie se integrata con una funzione di cruscotto direzionale</w:t>
      </w:r>
      <w:r w:rsidR="00190792">
        <w:rPr>
          <w:rFonts w:asciiTheme="minorHAnsi" w:hAnsiTheme="minorHAnsi"/>
          <w:sz w:val="22"/>
          <w:szCs w:val="22"/>
        </w:rPr>
        <w:t>.</w:t>
      </w:r>
    </w:p>
    <w:p w:rsidR="00DD3C34" w:rsidRDefault="00DD54AA" w:rsidP="00045951">
      <w:pPr>
        <w:pStyle w:val="Default"/>
        <w:jc w:val="both"/>
        <w:rPr>
          <w:rFonts w:asciiTheme="minorHAnsi" w:hAnsiTheme="minorHAnsi"/>
          <w:sz w:val="22"/>
          <w:szCs w:val="22"/>
        </w:rPr>
      </w:pPr>
      <w:r>
        <w:rPr>
          <w:rFonts w:asciiTheme="minorHAnsi" w:hAnsiTheme="minorHAnsi"/>
          <w:sz w:val="22"/>
          <w:szCs w:val="22"/>
        </w:rPr>
        <w:t xml:space="preserve">Con l’occasione l’OIV </w:t>
      </w:r>
      <w:r w:rsidR="003E4A19">
        <w:rPr>
          <w:rFonts w:asciiTheme="minorHAnsi" w:hAnsiTheme="minorHAnsi"/>
          <w:sz w:val="22"/>
          <w:szCs w:val="22"/>
        </w:rPr>
        <w:t xml:space="preserve">ribadisce quanto già detto in precedenza circa </w:t>
      </w:r>
      <w:r>
        <w:rPr>
          <w:rFonts w:asciiTheme="minorHAnsi" w:hAnsiTheme="minorHAnsi"/>
          <w:sz w:val="22"/>
          <w:szCs w:val="22"/>
        </w:rPr>
        <w:t>l</w:t>
      </w:r>
      <w:r w:rsidRPr="00DD54AA">
        <w:rPr>
          <w:rFonts w:asciiTheme="minorHAnsi" w:hAnsiTheme="minorHAnsi"/>
          <w:sz w:val="22"/>
          <w:szCs w:val="22"/>
        </w:rPr>
        <w:t>’opportunità di increm</w:t>
      </w:r>
      <w:r>
        <w:rPr>
          <w:rFonts w:asciiTheme="minorHAnsi" w:hAnsiTheme="minorHAnsi"/>
          <w:sz w:val="22"/>
          <w:szCs w:val="22"/>
        </w:rPr>
        <w:t>entare le risorse destinate alla</w:t>
      </w:r>
      <w:r w:rsidRPr="00DD54AA">
        <w:rPr>
          <w:rFonts w:asciiTheme="minorHAnsi" w:hAnsiTheme="minorHAnsi"/>
          <w:sz w:val="22"/>
          <w:szCs w:val="22"/>
        </w:rPr>
        <w:t xml:space="preserve"> funzione di supporto, sia in termini di personale dedicato </w:t>
      </w:r>
      <w:r>
        <w:rPr>
          <w:rFonts w:asciiTheme="minorHAnsi" w:hAnsiTheme="minorHAnsi"/>
          <w:sz w:val="22"/>
          <w:szCs w:val="22"/>
        </w:rPr>
        <w:t>s</w:t>
      </w:r>
      <w:r w:rsidRPr="00DD54AA">
        <w:rPr>
          <w:rFonts w:asciiTheme="minorHAnsi" w:hAnsiTheme="minorHAnsi"/>
          <w:sz w:val="22"/>
          <w:szCs w:val="22"/>
        </w:rPr>
        <w:t>ia in</w:t>
      </w:r>
      <w:r w:rsidR="00EC2B42">
        <w:rPr>
          <w:rFonts w:asciiTheme="minorHAnsi" w:hAnsiTheme="minorHAnsi"/>
          <w:sz w:val="22"/>
          <w:szCs w:val="22"/>
        </w:rPr>
        <w:t xml:space="preserve"> termini di applicativi utilizzati</w:t>
      </w:r>
      <w:r>
        <w:rPr>
          <w:rFonts w:asciiTheme="minorHAnsi" w:hAnsiTheme="minorHAnsi"/>
          <w:sz w:val="22"/>
          <w:szCs w:val="22"/>
        </w:rPr>
        <w:t xml:space="preserve"> (anche tenendo conto della particolare articolazione territoriale dell’Istituto)</w:t>
      </w:r>
      <w:r w:rsidRPr="00DD54AA">
        <w:rPr>
          <w:rFonts w:asciiTheme="minorHAnsi" w:hAnsiTheme="minorHAnsi"/>
          <w:sz w:val="22"/>
          <w:szCs w:val="22"/>
        </w:rPr>
        <w:t>,</w:t>
      </w:r>
      <w:r w:rsidR="003E4A19">
        <w:rPr>
          <w:rFonts w:asciiTheme="minorHAnsi" w:hAnsiTheme="minorHAnsi"/>
          <w:sz w:val="22"/>
          <w:szCs w:val="22"/>
        </w:rPr>
        <w:t xml:space="preserve"> al fine</w:t>
      </w:r>
      <w:r w:rsidRPr="00DD54AA">
        <w:rPr>
          <w:rFonts w:asciiTheme="minorHAnsi" w:hAnsiTheme="minorHAnsi"/>
          <w:sz w:val="22"/>
          <w:szCs w:val="22"/>
        </w:rPr>
        <w:t xml:space="preserve"> </w:t>
      </w:r>
      <w:r w:rsidR="003E4A19">
        <w:rPr>
          <w:rFonts w:asciiTheme="minorHAnsi" w:hAnsiTheme="minorHAnsi"/>
          <w:sz w:val="22"/>
          <w:szCs w:val="22"/>
        </w:rPr>
        <w:t xml:space="preserve">di </w:t>
      </w:r>
      <w:r>
        <w:rPr>
          <w:rFonts w:asciiTheme="minorHAnsi" w:hAnsiTheme="minorHAnsi"/>
          <w:sz w:val="22"/>
          <w:szCs w:val="22"/>
        </w:rPr>
        <w:t xml:space="preserve">rappresentare un </w:t>
      </w:r>
      <w:r w:rsidRPr="00DD54AA">
        <w:rPr>
          <w:rFonts w:asciiTheme="minorHAnsi" w:hAnsiTheme="minorHAnsi"/>
          <w:sz w:val="22"/>
          <w:szCs w:val="22"/>
        </w:rPr>
        <w:t>importante sviluppo in termini di supporto al processo decisionale</w:t>
      </w:r>
      <w:r w:rsidR="00224A3C">
        <w:rPr>
          <w:rFonts w:asciiTheme="minorHAnsi" w:hAnsiTheme="minorHAnsi"/>
          <w:sz w:val="22"/>
          <w:szCs w:val="22"/>
        </w:rPr>
        <w:t xml:space="preserve"> da concludersi entro il 2023</w:t>
      </w:r>
      <w:r>
        <w:rPr>
          <w:rFonts w:asciiTheme="minorHAnsi" w:hAnsiTheme="minorHAnsi"/>
          <w:sz w:val="22"/>
          <w:szCs w:val="22"/>
        </w:rPr>
        <w:t>.</w:t>
      </w:r>
      <w:r w:rsidR="00831186">
        <w:rPr>
          <w:rFonts w:asciiTheme="minorHAnsi" w:hAnsiTheme="minorHAnsi"/>
          <w:sz w:val="22"/>
          <w:szCs w:val="22"/>
        </w:rPr>
        <w:t xml:space="preserve"> Al fine di migliorare quest’ultima dimensione è </w:t>
      </w:r>
      <w:r w:rsidR="003E4A19">
        <w:rPr>
          <w:rFonts w:asciiTheme="minorHAnsi" w:hAnsiTheme="minorHAnsi"/>
          <w:sz w:val="22"/>
          <w:szCs w:val="22"/>
        </w:rPr>
        <w:t xml:space="preserve">comunque </w:t>
      </w:r>
      <w:r w:rsidR="00831186">
        <w:rPr>
          <w:rFonts w:asciiTheme="minorHAnsi" w:hAnsiTheme="minorHAnsi"/>
          <w:sz w:val="22"/>
          <w:szCs w:val="22"/>
        </w:rPr>
        <w:t>in corso di realizzazione un progetto aziendale di definizione e realizzazione informatica di un moderno cruscotto aziendale che consenta di sfruttare pienamente le potenzialità del nuovo sistema informativo sanitario grazie al quale l’Istituto dispone della cartella clinica informatizzata e di una informatizzazione di tutte le attività clinico assistenziali.</w:t>
      </w:r>
    </w:p>
    <w:p w:rsidR="00167D98" w:rsidRDefault="00167D98" w:rsidP="00045951">
      <w:pPr>
        <w:pStyle w:val="Default"/>
        <w:jc w:val="both"/>
        <w:rPr>
          <w:rFonts w:asciiTheme="minorHAnsi" w:hAnsiTheme="minorHAnsi"/>
          <w:sz w:val="22"/>
          <w:szCs w:val="22"/>
        </w:rPr>
      </w:pPr>
      <w:r>
        <w:rPr>
          <w:rFonts w:asciiTheme="minorHAnsi" w:hAnsiTheme="minorHAnsi"/>
          <w:sz w:val="22"/>
          <w:szCs w:val="22"/>
        </w:rPr>
        <w:t>Si conferma infine come la possibilità di realizzazione di incontri telematici, tenuto conto della competenza e professionalità dimostrata dalla struttura tecnica di supporto, abbia dimostrato una sua grande validità e, indipendentemente dall’emergenza pandemica, possa rappresentare una modalità di lavoro più efficiente ed ugualmente efficace.</w:t>
      </w:r>
    </w:p>
    <w:p w:rsidR="00DD3C34" w:rsidRDefault="00DD3C34" w:rsidP="00DD3C34">
      <w:pPr>
        <w:pStyle w:val="Default"/>
        <w:jc w:val="both"/>
        <w:rPr>
          <w:rFonts w:asciiTheme="minorHAnsi" w:hAnsiTheme="minorHAnsi"/>
          <w:sz w:val="22"/>
          <w:szCs w:val="22"/>
        </w:rPr>
      </w:pPr>
    </w:p>
    <w:p w:rsidR="00045951" w:rsidRDefault="00045951" w:rsidP="00045951">
      <w:pPr>
        <w:pStyle w:val="Default"/>
        <w:jc w:val="both"/>
        <w:rPr>
          <w:rFonts w:asciiTheme="minorHAnsi" w:hAnsiTheme="minorHAnsi"/>
          <w:sz w:val="22"/>
          <w:szCs w:val="22"/>
        </w:rPr>
      </w:pPr>
    </w:p>
    <w:p w:rsidR="00577951" w:rsidRDefault="00577951" w:rsidP="00045951">
      <w:pPr>
        <w:pStyle w:val="Default"/>
        <w:jc w:val="both"/>
        <w:rPr>
          <w:rFonts w:asciiTheme="minorHAnsi" w:hAnsiTheme="minorHAnsi"/>
          <w:sz w:val="22"/>
          <w:szCs w:val="22"/>
        </w:rPr>
      </w:pPr>
    </w:p>
    <w:p w:rsidR="00551055" w:rsidRPr="00551055" w:rsidRDefault="00551055" w:rsidP="005C14A8">
      <w:pPr>
        <w:pStyle w:val="Titolo1"/>
        <w:numPr>
          <w:ilvl w:val="0"/>
          <w:numId w:val="1"/>
        </w:numPr>
        <w:tabs>
          <w:tab w:val="num" w:pos="432"/>
          <w:tab w:val="num" w:pos="540"/>
        </w:tabs>
        <w:ind w:left="432" w:hanging="432"/>
        <w:rPr>
          <w:rFonts w:asciiTheme="minorHAnsi" w:hAnsiTheme="minorHAnsi"/>
          <w:sz w:val="22"/>
          <w:szCs w:val="22"/>
        </w:rPr>
      </w:pPr>
      <w:bookmarkStart w:id="6" w:name="_Toc70581323"/>
      <w:bookmarkStart w:id="7" w:name="_Hlk101512653"/>
      <w:r w:rsidRPr="00551055">
        <w:rPr>
          <w:rFonts w:asciiTheme="minorHAnsi" w:hAnsiTheme="minorHAnsi"/>
          <w:sz w:val="24"/>
          <w:szCs w:val="24"/>
        </w:rPr>
        <w:lastRenderedPageBreak/>
        <w:t>Sistemi informativi e informatici a supporto dell’attuazione del Programma triennale per la trasparenza e l’integrità e per il rispetto degli obblighi di pubblicazione</w:t>
      </w:r>
      <w:r w:rsidRPr="00551055">
        <w:rPr>
          <w:rFonts w:asciiTheme="minorHAnsi" w:hAnsiTheme="minorHAnsi"/>
          <w:sz w:val="22"/>
          <w:szCs w:val="22"/>
        </w:rPr>
        <w:t>.</w:t>
      </w:r>
      <w:bookmarkEnd w:id="6"/>
      <w:r w:rsidRPr="00551055">
        <w:rPr>
          <w:rFonts w:asciiTheme="minorHAnsi" w:hAnsiTheme="minorHAnsi"/>
          <w:sz w:val="22"/>
          <w:szCs w:val="22"/>
        </w:rPr>
        <w:t> </w:t>
      </w:r>
    </w:p>
    <w:bookmarkEnd w:id="7"/>
    <w:p w:rsidR="00562B5B" w:rsidRPr="00562B5B" w:rsidRDefault="00562B5B" w:rsidP="00562B5B">
      <w:pPr>
        <w:pStyle w:val="Default"/>
        <w:jc w:val="both"/>
        <w:rPr>
          <w:rFonts w:asciiTheme="minorHAnsi" w:hAnsiTheme="minorHAnsi"/>
          <w:sz w:val="22"/>
          <w:szCs w:val="22"/>
        </w:rPr>
      </w:pPr>
      <w:r w:rsidRPr="00562B5B">
        <w:rPr>
          <w:rFonts w:asciiTheme="minorHAnsi" w:hAnsiTheme="minorHAnsi"/>
          <w:sz w:val="22"/>
          <w:szCs w:val="22"/>
        </w:rPr>
        <w:t>Per quanto riguarda gli obblighi di trasparenza, l’Istituto ha adottato le procedure necessarie per assicurare la regolarità e la tempestività dei flussi informativi e nominato i referenti aziendali per la Trasparenza, su proposta del dirigente dell’ufficio competente per la pubblicazione. Le regole e i meccanismi di funzionamento che costituiscono il “Sistema della trasparenza” dell’Istituto sono state condivise con i dirigenti di tutte unità operative i</w:t>
      </w:r>
      <w:r>
        <w:rPr>
          <w:rFonts w:asciiTheme="minorHAnsi" w:hAnsiTheme="minorHAnsi"/>
          <w:sz w:val="22"/>
          <w:szCs w:val="22"/>
        </w:rPr>
        <w:t xml:space="preserve">nteressate all’alimentazione e </w:t>
      </w:r>
      <w:r w:rsidRPr="00562B5B">
        <w:rPr>
          <w:rFonts w:asciiTheme="minorHAnsi" w:hAnsiTheme="minorHAnsi"/>
          <w:sz w:val="22"/>
          <w:szCs w:val="22"/>
        </w:rPr>
        <w:t xml:space="preserve">della sezione “Amministrazione Trasparente”.  </w:t>
      </w:r>
    </w:p>
    <w:p w:rsidR="00562B5B" w:rsidRDefault="00562B5B" w:rsidP="00562B5B">
      <w:pPr>
        <w:pStyle w:val="Default"/>
        <w:jc w:val="both"/>
        <w:rPr>
          <w:rFonts w:asciiTheme="minorHAnsi" w:hAnsiTheme="minorHAnsi"/>
          <w:sz w:val="22"/>
          <w:szCs w:val="22"/>
        </w:rPr>
      </w:pPr>
      <w:r w:rsidRPr="00562B5B">
        <w:rPr>
          <w:rFonts w:asciiTheme="minorHAnsi" w:hAnsiTheme="minorHAnsi"/>
          <w:sz w:val="22"/>
          <w:szCs w:val="22"/>
        </w:rPr>
        <w:t>Le sottosezioni di “Amministrazione Trasparente” vengono alimentate sia in modo diretto, tramite caricamento dei dati su un portale dove i responsabili della pubblicazione operano in back office con apposite credenziali, che attraverso degli automatismi di r</w:t>
      </w:r>
      <w:r>
        <w:rPr>
          <w:rFonts w:asciiTheme="minorHAnsi" w:hAnsiTheme="minorHAnsi"/>
          <w:sz w:val="22"/>
          <w:szCs w:val="22"/>
        </w:rPr>
        <w:t xml:space="preserve">invio a banche dati aziendali, </w:t>
      </w:r>
      <w:r w:rsidRPr="00562B5B">
        <w:rPr>
          <w:rFonts w:asciiTheme="minorHAnsi" w:hAnsiTheme="minorHAnsi"/>
          <w:sz w:val="22"/>
          <w:szCs w:val="22"/>
        </w:rPr>
        <w:t>regionali o nazionali.</w:t>
      </w:r>
    </w:p>
    <w:p w:rsidR="005A7D9F" w:rsidRDefault="005A7D9F" w:rsidP="00562B5B">
      <w:pPr>
        <w:pStyle w:val="Default"/>
        <w:jc w:val="both"/>
        <w:rPr>
          <w:rFonts w:asciiTheme="minorHAnsi" w:hAnsiTheme="minorHAnsi"/>
          <w:sz w:val="22"/>
          <w:szCs w:val="22"/>
        </w:rPr>
      </w:pPr>
      <w:r>
        <w:rPr>
          <w:rFonts w:asciiTheme="minorHAnsi" w:hAnsiTheme="minorHAnsi"/>
          <w:sz w:val="22"/>
          <w:szCs w:val="22"/>
        </w:rPr>
        <w:t>Si rappresenta che in seguito alla delibera A</w:t>
      </w:r>
      <w:r w:rsidR="00C74598">
        <w:rPr>
          <w:rFonts w:asciiTheme="minorHAnsi" w:hAnsiTheme="minorHAnsi"/>
          <w:sz w:val="22"/>
          <w:szCs w:val="22"/>
        </w:rPr>
        <w:t>NAC</w:t>
      </w:r>
      <w:r>
        <w:rPr>
          <w:rFonts w:asciiTheme="minorHAnsi" w:hAnsiTheme="minorHAnsi"/>
          <w:sz w:val="22"/>
          <w:szCs w:val="22"/>
        </w:rPr>
        <w:t xml:space="preserve"> n. 7</w:t>
      </w:r>
      <w:r w:rsidR="00DF6432">
        <w:rPr>
          <w:rFonts w:asciiTheme="minorHAnsi" w:hAnsiTheme="minorHAnsi"/>
          <w:sz w:val="22"/>
          <w:szCs w:val="22"/>
        </w:rPr>
        <w:t xml:space="preserve"> </w:t>
      </w:r>
      <w:r>
        <w:rPr>
          <w:rFonts w:asciiTheme="minorHAnsi" w:hAnsiTheme="minorHAnsi"/>
          <w:sz w:val="22"/>
          <w:szCs w:val="22"/>
        </w:rPr>
        <w:t>de</w:t>
      </w:r>
      <w:r w:rsidR="00C74598">
        <w:rPr>
          <w:rFonts w:asciiTheme="minorHAnsi" w:hAnsiTheme="minorHAnsi"/>
          <w:sz w:val="22"/>
          <w:szCs w:val="22"/>
        </w:rPr>
        <w:t>l 17 gennaio 2023</w:t>
      </w:r>
      <w:bookmarkStart w:id="8" w:name="_GoBack"/>
      <w:bookmarkEnd w:id="8"/>
      <w:r>
        <w:rPr>
          <w:rFonts w:asciiTheme="minorHAnsi" w:hAnsiTheme="minorHAnsi"/>
          <w:sz w:val="22"/>
          <w:szCs w:val="22"/>
        </w:rPr>
        <w:t xml:space="preserve"> dovrà essere implementata la nuova sottosezione </w:t>
      </w:r>
      <w:r w:rsidR="00DF6432">
        <w:rPr>
          <w:rFonts w:asciiTheme="minorHAnsi" w:hAnsiTheme="minorHAnsi"/>
          <w:sz w:val="22"/>
          <w:szCs w:val="22"/>
        </w:rPr>
        <w:t>“B</w:t>
      </w:r>
      <w:r>
        <w:rPr>
          <w:rFonts w:asciiTheme="minorHAnsi" w:hAnsiTheme="minorHAnsi"/>
          <w:sz w:val="22"/>
          <w:szCs w:val="22"/>
        </w:rPr>
        <w:t xml:space="preserve">andi di gara e </w:t>
      </w:r>
      <w:r w:rsidRPr="005A7D9F">
        <w:rPr>
          <w:rFonts w:asciiTheme="minorHAnsi" w:hAnsiTheme="minorHAnsi"/>
          <w:sz w:val="22"/>
          <w:szCs w:val="22"/>
        </w:rPr>
        <w:t>contratti</w:t>
      </w:r>
      <w:r w:rsidR="00DF6432">
        <w:rPr>
          <w:rFonts w:asciiTheme="minorHAnsi" w:hAnsiTheme="minorHAnsi"/>
          <w:sz w:val="22"/>
          <w:szCs w:val="22"/>
        </w:rPr>
        <w:t>”</w:t>
      </w:r>
      <w:r>
        <w:rPr>
          <w:rFonts w:asciiTheme="minorHAnsi" w:hAnsiTheme="minorHAnsi"/>
          <w:sz w:val="22"/>
          <w:szCs w:val="22"/>
        </w:rPr>
        <w:t>.</w:t>
      </w:r>
    </w:p>
    <w:p w:rsidR="00562B5B" w:rsidRPr="00562B5B" w:rsidRDefault="00562B5B" w:rsidP="00562B5B">
      <w:pPr>
        <w:pStyle w:val="Default"/>
        <w:jc w:val="both"/>
        <w:rPr>
          <w:rFonts w:asciiTheme="minorHAnsi" w:hAnsiTheme="minorHAnsi"/>
          <w:sz w:val="22"/>
          <w:szCs w:val="22"/>
        </w:rPr>
      </w:pPr>
      <w:r w:rsidRPr="00562B5B">
        <w:rPr>
          <w:rFonts w:asciiTheme="minorHAnsi" w:hAnsiTheme="minorHAnsi"/>
          <w:sz w:val="22"/>
          <w:szCs w:val="22"/>
        </w:rPr>
        <w:t xml:space="preserve">Il sistema informatico di supporto alla pubblicazione tiene traccia della data di ciascuna pubblicazione, e tale informazione è presente su tutte le pagine web di AT. </w:t>
      </w:r>
    </w:p>
    <w:p w:rsidR="00562B5B" w:rsidRPr="00562B5B" w:rsidRDefault="00562B5B" w:rsidP="00562B5B">
      <w:pPr>
        <w:pStyle w:val="Default"/>
        <w:jc w:val="both"/>
        <w:rPr>
          <w:rFonts w:asciiTheme="minorHAnsi" w:hAnsiTheme="minorHAnsi"/>
          <w:sz w:val="22"/>
          <w:szCs w:val="22"/>
        </w:rPr>
      </w:pPr>
      <w:r w:rsidRPr="00562B5B">
        <w:rPr>
          <w:rFonts w:asciiTheme="minorHAnsi" w:hAnsiTheme="minorHAnsi"/>
          <w:sz w:val="22"/>
          <w:szCs w:val="22"/>
        </w:rPr>
        <w:t xml:space="preserve">Il Piano Integrato di Attività e Organizzazione (PIAO) approvato dall’Istituto con determina n. 80/DGEN/2023 del 15.03.2023 contiene l’elenco dei referenti per la Trasparenza e dei i responsabili di ogni singola pubblicazione. Questi assicurano l’aggiornamento sistematico dei dati per i quali vige l’obbligo di pubblicazione,  </w:t>
      </w:r>
    </w:p>
    <w:p w:rsidR="00562B5B" w:rsidRPr="00562B5B" w:rsidRDefault="00562B5B" w:rsidP="00562B5B">
      <w:pPr>
        <w:pStyle w:val="Default"/>
        <w:jc w:val="both"/>
        <w:rPr>
          <w:rFonts w:asciiTheme="minorHAnsi" w:hAnsiTheme="minorHAnsi"/>
          <w:sz w:val="22"/>
          <w:szCs w:val="22"/>
        </w:rPr>
      </w:pPr>
      <w:r w:rsidRPr="00562B5B">
        <w:rPr>
          <w:rFonts w:asciiTheme="minorHAnsi" w:hAnsiTheme="minorHAnsi"/>
          <w:sz w:val="22"/>
          <w:szCs w:val="22"/>
        </w:rPr>
        <w:t xml:space="preserve">Il PIAO prevede che l’attività di monitoraggio venga svolta su due livelli: </w:t>
      </w:r>
    </w:p>
    <w:p w:rsidR="00562B5B" w:rsidRPr="00562B5B" w:rsidRDefault="00562B5B" w:rsidP="00562B5B">
      <w:pPr>
        <w:pStyle w:val="Default"/>
        <w:jc w:val="both"/>
        <w:rPr>
          <w:rFonts w:asciiTheme="minorHAnsi" w:hAnsiTheme="minorHAnsi"/>
          <w:sz w:val="22"/>
          <w:szCs w:val="22"/>
        </w:rPr>
      </w:pPr>
      <w:r w:rsidRPr="00562B5B">
        <w:rPr>
          <w:rFonts w:asciiTheme="minorHAnsi" w:hAnsiTheme="minorHAnsi"/>
          <w:sz w:val="22"/>
          <w:szCs w:val="22"/>
        </w:rPr>
        <w:t>•</w:t>
      </w:r>
      <w:r w:rsidRPr="00562B5B">
        <w:rPr>
          <w:rFonts w:asciiTheme="minorHAnsi" w:hAnsiTheme="minorHAnsi"/>
          <w:sz w:val="22"/>
          <w:szCs w:val="22"/>
        </w:rPr>
        <w:tab/>
        <w:t>Livello “micro” - a cura dei responsabili degli uffici competenti per la pubblicazione sono previste attività sistematiche di auto-monitoraggio delle sottosezioni di “Amministrazione Trasparente” a cura dei responsabili degli uffici competenti per la pubblicazione;</w:t>
      </w:r>
    </w:p>
    <w:p w:rsidR="007856B1" w:rsidRPr="00B46161" w:rsidRDefault="00562B5B" w:rsidP="00562B5B">
      <w:pPr>
        <w:pStyle w:val="Default"/>
        <w:jc w:val="both"/>
        <w:rPr>
          <w:rFonts w:asciiTheme="minorHAnsi" w:hAnsiTheme="minorHAnsi"/>
          <w:sz w:val="22"/>
          <w:szCs w:val="22"/>
        </w:rPr>
      </w:pPr>
      <w:r w:rsidRPr="00562B5B">
        <w:rPr>
          <w:rFonts w:asciiTheme="minorHAnsi" w:hAnsiTheme="minorHAnsi"/>
          <w:sz w:val="22"/>
          <w:szCs w:val="22"/>
        </w:rPr>
        <w:t>•</w:t>
      </w:r>
      <w:r w:rsidRPr="00562B5B">
        <w:rPr>
          <w:rFonts w:asciiTheme="minorHAnsi" w:hAnsiTheme="minorHAnsi"/>
          <w:sz w:val="22"/>
          <w:szCs w:val="22"/>
        </w:rPr>
        <w:tab/>
        <w:t>Livello “macro” - a cura del Responsabile della Trasparenza e della Prevenzione della Corruzione (RTPC) è previsto il monitoraggio a supporto dell’OIV durante le verifiche annuali, ai sensi dell’art. 14, c. 4, lett. g), del d.lgs. n. 150/2009, oltre a controlli periodici “a campione” su subset di informazioni, effettuate con il supporto de</w:t>
      </w:r>
      <w:r>
        <w:rPr>
          <w:rFonts w:asciiTheme="minorHAnsi" w:hAnsiTheme="minorHAnsi"/>
          <w:sz w:val="22"/>
          <w:szCs w:val="22"/>
        </w:rPr>
        <w:t>i Sistemi Informativi Aziendali</w:t>
      </w:r>
      <w:r w:rsidR="007856B1">
        <w:rPr>
          <w:rFonts w:ascii="Book Antiqua" w:hAnsi="Book Antiqua"/>
        </w:rPr>
        <w:t>.</w:t>
      </w:r>
    </w:p>
    <w:p w:rsidR="00167D98" w:rsidRDefault="00167D98" w:rsidP="00297AC4">
      <w:pPr>
        <w:pStyle w:val="Default"/>
        <w:jc w:val="both"/>
        <w:rPr>
          <w:rFonts w:asciiTheme="minorHAnsi" w:hAnsiTheme="minorHAnsi"/>
          <w:sz w:val="22"/>
          <w:szCs w:val="22"/>
        </w:rPr>
      </w:pPr>
    </w:p>
    <w:p w:rsidR="00551055" w:rsidRPr="005F4F27" w:rsidRDefault="00551055" w:rsidP="00551055">
      <w:pPr>
        <w:pStyle w:val="Titolo1"/>
        <w:numPr>
          <w:ilvl w:val="0"/>
          <w:numId w:val="1"/>
        </w:numPr>
        <w:tabs>
          <w:tab w:val="num" w:pos="432"/>
          <w:tab w:val="num" w:pos="540"/>
        </w:tabs>
        <w:ind w:left="432" w:hanging="432"/>
        <w:jc w:val="left"/>
        <w:rPr>
          <w:rFonts w:asciiTheme="minorHAnsi" w:hAnsiTheme="minorHAnsi"/>
          <w:sz w:val="24"/>
          <w:szCs w:val="24"/>
        </w:rPr>
      </w:pPr>
      <w:bookmarkStart w:id="9" w:name="_Toc70581324"/>
      <w:r>
        <w:rPr>
          <w:rFonts w:asciiTheme="minorHAnsi" w:hAnsiTheme="minorHAnsi"/>
          <w:sz w:val="24"/>
          <w:szCs w:val="24"/>
        </w:rPr>
        <w:lastRenderedPageBreak/>
        <w:t>Definizione e gestione standard di qualità</w:t>
      </w:r>
      <w:bookmarkEnd w:id="9"/>
      <w:r w:rsidRPr="005F4F27">
        <w:rPr>
          <w:rFonts w:asciiTheme="minorHAnsi" w:hAnsiTheme="minorHAnsi"/>
          <w:sz w:val="24"/>
          <w:szCs w:val="24"/>
        </w:rPr>
        <w:t xml:space="preserve">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Il processo evolutivo e di miglioramento avviato dall’IRCCS-INRCA nel corso degli ultimi anni ha portato all’implementazione di un Sistema di Gestione per la Qualità (SGQ), in conformità alla norma UNI EN ISO 9001, con l’obiettivo di mantenere e raggiungere un livello qualitativo dell’Istituto in grado di soddisfare le esigenze di tutti i portatori di interesse.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Il modello di SGQ adottato, basato su un approccio per processi e sul metodo del PLAN – DO – CHECK - ACT (pianificare – eseguire – verificare - agire), è stato certificato in conformità alla norma internazionale UNI EN ISO 9001:2008 da un Ente di certificazione esterno accreditato nel 2009 in prima emissione e nel 2012 per la </w:t>
      </w:r>
      <w:proofErr w:type="spellStart"/>
      <w:r w:rsidRPr="00562B5B">
        <w:rPr>
          <w:rFonts w:ascii="Calibri" w:hAnsi="Calibri"/>
          <w:sz w:val="22"/>
          <w:szCs w:val="22"/>
        </w:rPr>
        <w:t>ricertificazione</w:t>
      </w:r>
      <w:proofErr w:type="spellEnd"/>
      <w:r w:rsidRPr="00562B5B">
        <w:rPr>
          <w:rFonts w:ascii="Calibri" w:hAnsi="Calibri"/>
          <w:sz w:val="22"/>
          <w:szCs w:val="22"/>
        </w:rPr>
        <w:t xml:space="preserve">, in tutte le Sedi ed Unità Operative dell’istituto, per le attività di progettazione ed erogazione di attività di ricerca sull’invecchiamento e servizi di assistenza nell’ambito della programmazione della normativa sanitaria - prestazioni sanitarie di ricovero ordinario, Day Hospital, Day Surgery, Accettazione geriatrica in urgenza, Specialistica ambulatoriale e diagnostica strumentale.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L’implementazione del sistema della qualità ha continuato ad essere garantita anche alla luce dell’evoluzione normativa e del contesto, facendo sì che il sistema si ampliasse, andando a comprendere anche la gestione di tutte le attività di risk-management e diventando un “Sistema di Gestione Qualità, Rischio e Sicurezza”.</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Il sistema di gestione è stato pianificato per processi.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I processi primari sono: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P01: ricerca, progettazione e sviluppo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P02: degenze e chirurgie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P03: servizi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I processi di supporto sono: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P04: gestione risorse (risorse umane, formazione)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P05: strutture, infrastrutture e Tecnologia Clinica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P06: Information </w:t>
      </w:r>
      <w:proofErr w:type="spellStart"/>
      <w:r w:rsidRPr="00562B5B">
        <w:rPr>
          <w:rFonts w:ascii="Calibri" w:hAnsi="Calibri"/>
          <w:sz w:val="22"/>
          <w:szCs w:val="22"/>
        </w:rPr>
        <w:t>Techonology</w:t>
      </w:r>
      <w:proofErr w:type="spellEnd"/>
      <w:r w:rsidRPr="00562B5B">
        <w:rPr>
          <w:rFonts w:ascii="Calibri" w:hAnsi="Calibri"/>
          <w:sz w:val="22"/>
          <w:szCs w:val="22"/>
        </w:rPr>
        <w:t xml:space="preserve">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P07: controllo prodotto e servizi forniti dall’esterno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P08: programmazione e controllo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P09: gestione del rischio clinico, salute, sicurezza, prevenzione e protezione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P10: leadership e pianificazione.</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Nella pianificazione del Sistema di Gestione Qualità Rischio e Sicurezza (SGQRS) l’organizzazione ha tenuto conto dei risultati derivanti dall’analisi dei fattori interni ed esterni del proprio contesto, dei requisiti delle parti interessate ed ha determinato i rischi e le opportunità da affrontare per: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 assicurare che il sistema consegua i risultati attesi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 accrescere gli effetti desiderati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 prevenire o ridurre gli effetti indesiderati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 conseguire il miglioramento.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La pianificazione accurata di tutte le attività permette di prevenire errori e disservizi ed eventi avversi/incidenti.</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L’attività di controllo dei processi primari e secondari a supporto, è garantita attraverso la raccolta e l’analisi di indicatori di monitoraggio specifici, allo scopo di garantire il corretto andamento del processo stesso, e di indicatori di esito, in grado di misurare le prestazioni del processo e fornire dati utili al miglioramento. La continua verifica e misurazione dei trend e dei risultati perfeziona le metodiche del SGQRS e stimola il personale coinvolto, il quale apporta il proprio determinante contributo all’eccellenza delle attività svolte e alla soddisfazione dell’Utente.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L’aggiornamento e l’adeguatezza del SGQRS alle esigenze dell’Utente è garantito dai riesami periodici del SGQRS nonché dai continui miglioramenti e dalle azioni correttive rivolte a tutte le attività dell’Istituto. Il SGQRS dell’Istituto è documentato in maniera da dare evidenza della sua attuazione e consentire di monitorarlo, misurarlo e poterne migliorare continuamente l’efficacia.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Nel pianificare il sistema l’organizzazione ha definito le azioni per affrontare i rischi e le opportunità individuate e le modalità per integrare tali azioni nel sistema e valutarne l’efficacia. Tali azioni sono state descritte in specifiche matrici elaborate per ognuno dei processi individuati nella mappatura. </w:t>
      </w:r>
    </w:p>
    <w:p w:rsidR="00562B5B" w:rsidRPr="00562B5B" w:rsidRDefault="00562B5B" w:rsidP="00562B5B">
      <w:pPr>
        <w:pStyle w:val="Default"/>
        <w:ind w:left="360"/>
        <w:jc w:val="both"/>
        <w:rPr>
          <w:rFonts w:ascii="Calibri" w:hAnsi="Calibri"/>
          <w:sz w:val="22"/>
          <w:szCs w:val="22"/>
        </w:rPr>
      </w:pPr>
      <w:r w:rsidRPr="00562B5B">
        <w:rPr>
          <w:rFonts w:ascii="Calibri" w:hAnsi="Calibri"/>
          <w:sz w:val="22"/>
          <w:szCs w:val="22"/>
        </w:rPr>
        <w:t xml:space="preserve">Gli obiettivi del SGQRS sono stabiliti annualmente dal Direttore Generale, in collaborazione con la Direzione Sanitaria, Scientifica ed Amministrativa, con il Responsabile del Sistema di Gestione Qualità, Rischio e Sicurezza </w:t>
      </w:r>
      <w:r w:rsidRPr="00562B5B">
        <w:rPr>
          <w:rFonts w:ascii="Calibri" w:hAnsi="Calibri"/>
          <w:sz w:val="22"/>
          <w:szCs w:val="22"/>
        </w:rPr>
        <w:lastRenderedPageBreak/>
        <w:t xml:space="preserve">(SGQRS) di Istituto, con il gruppo di Coordinamento del SGQRS di Istituto e con i Referenti QRS di Sede, durante il Riesame della Direzione. </w:t>
      </w:r>
    </w:p>
    <w:p w:rsidR="00AF34D6" w:rsidRDefault="00562B5B" w:rsidP="00562B5B">
      <w:pPr>
        <w:pStyle w:val="Default"/>
        <w:ind w:left="360"/>
        <w:jc w:val="both"/>
        <w:rPr>
          <w:rFonts w:ascii="Calibri" w:hAnsi="Calibri"/>
          <w:sz w:val="22"/>
          <w:szCs w:val="22"/>
        </w:rPr>
      </w:pPr>
      <w:r w:rsidRPr="00562B5B">
        <w:rPr>
          <w:rFonts w:ascii="Calibri" w:hAnsi="Calibri"/>
          <w:sz w:val="22"/>
          <w:szCs w:val="22"/>
        </w:rPr>
        <w:t xml:space="preserve">Gli obiettivi sono stabiliti tenendo conto della politica della qualità, del budget, di una stima dei miglioramenti conseguibili; di piani di sviluppo e programmi produttivi a breve termine. I suggerimenti ed il confronto sul SGQRS INRCA sono garantiti dall’attivazione di canali di comunicazione interna strumenti in grado di favorire l’integrazione tra ricerca/assistenza e governo clinico/certificazione, così come previsto dai Progetti Direzionali sviluppati in questi anni “INRCA: modello di attuazione di processi per l’integrazione del Sistema Gestione Qualità e del Governo Clinico” e “Sicurezza delle </w:t>
      </w:r>
      <w:r>
        <w:rPr>
          <w:rFonts w:ascii="Calibri" w:hAnsi="Calibri"/>
          <w:sz w:val="22"/>
          <w:szCs w:val="22"/>
        </w:rPr>
        <w:t>cure e dei processi lavorativi”</w:t>
      </w:r>
      <w:r w:rsidR="00531458">
        <w:rPr>
          <w:rFonts w:ascii="Calibri" w:hAnsi="Calibri"/>
          <w:sz w:val="22"/>
          <w:szCs w:val="22"/>
        </w:rPr>
        <w:t>.</w:t>
      </w:r>
      <w:r w:rsidR="005B52F6">
        <w:rPr>
          <w:rFonts w:ascii="Calibri" w:hAnsi="Calibri"/>
          <w:sz w:val="22"/>
          <w:szCs w:val="22"/>
        </w:rPr>
        <w:t xml:space="preserve"> </w:t>
      </w:r>
    </w:p>
    <w:p w:rsidR="00AF34D6" w:rsidRDefault="00AF34D6" w:rsidP="001A6733">
      <w:pPr>
        <w:pStyle w:val="Default"/>
        <w:ind w:left="360"/>
        <w:jc w:val="both"/>
        <w:rPr>
          <w:rFonts w:ascii="Calibri" w:hAnsi="Calibri"/>
          <w:sz w:val="22"/>
          <w:szCs w:val="22"/>
        </w:rPr>
      </w:pPr>
      <w:r>
        <w:rPr>
          <w:rFonts w:ascii="Calibri" w:hAnsi="Calibri"/>
          <w:sz w:val="22"/>
          <w:szCs w:val="22"/>
        </w:rPr>
        <w:t xml:space="preserve"> </w:t>
      </w:r>
    </w:p>
    <w:p w:rsidR="00551055" w:rsidRPr="005F4F27" w:rsidRDefault="00551055" w:rsidP="00551055">
      <w:pPr>
        <w:pStyle w:val="Titolo1"/>
        <w:numPr>
          <w:ilvl w:val="0"/>
          <w:numId w:val="1"/>
        </w:numPr>
        <w:tabs>
          <w:tab w:val="num" w:pos="432"/>
          <w:tab w:val="num" w:pos="540"/>
        </w:tabs>
        <w:ind w:left="432" w:hanging="432"/>
        <w:jc w:val="left"/>
        <w:rPr>
          <w:rFonts w:asciiTheme="minorHAnsi" w:hAnsiTheme="minorHAnsi"/>
          <w:sz w:val="24"/>
          <w:szCs w:val="24"/>
        </w:rPr>
      </w:pPr>
      <w:bookmarkStart w:id="10" w:name="_Toc70581325"/>
      <w:r>
        <w:rPr>
          <w:rFonts w:asciiTheme="minorHAnsi" w:hAnsiTheme="minorHAnsi"/>
          <w:sz w:val="24"/>
          <w:szCs w:val="24"/>
        </w:rPr>
        <w:lastRenderedPageBreak/>
        <w:t>Utilizzo dei risultati del Sistema di Misurazione e Valutazione</w:t>
      </w:r>
      <w:bookmarkEnd w:id="10"/>
      <w:r w:rsidRPr="005F4F27">
        <w:rPr>
          <w:rFonts w:asciiTheme="minorHAnsi" w:hAnsiTheme="minorHAnsi"/>
          <w:sz w:val="24"/>
          <w:szCs w:val="24"/>
        </w:rPr>
        <w:t xml:space="preserve"> </w:t>
      </w:r>
    </w:p>
    <w:p w:rsidR="00002ACA" w:rsidRDefault="00002ACA" w:rsidP="008C7E1D">
      <w:pPr>
        <w:pStyle w:val="Default"/>
        <w:ind w:left="360"/>
        <w:jc w:val="both"/>
        <w:rPr>
          <w:rFonts w:ascii="Calibri" w:hAnsi="Calibri"/>
          <w:sz w:val="22"/>
          <w:szCs w:val="22"/>
        </w:rPr>
      </w:pPr>
      <w:r>
        <w:rPr>
          <w:rFonts w:ascii="Calibri" w:hAnsi="Calibri"/>
          <w:sz w:val="22"/>
          <w:szCs w:val="22"/>
        </w:rPr>
        <w:t>I</w:t>
      </w:r>
      <w:r w:rsidR="00E60522" w:rsidRPr="00E60522">
        <w:rPr>
          <w:rFonts w:ascii="Calibri" w:hAnsi="Calibri"/>
          <w:sz w:val="22"/>
          <w:szCs w:val="22"/>
        </w:rPr>
        <w:t>l ciclo della</w:t>
      </w:r>
      <w:r w:rsidR="00E60522">
        <w:rPr>
          <w:rFonts w:ascii="Calibri" w:hAnsi="Calibri"/>
          <w:sz w:val="22"/>
          <w:szCs w:val="22"/>
        </w:rPr>
        <w:t xml:space="preserve"> performance nell’ambito dell’Istituto</w:t>
      </w:r>
      <w:r>
        <w:rPr>
          <w:rFonts w:ascii="Calibri" w:hAnsi="Calibri"/>
          <w:sz w:val="22"/>
          <w:szCs w:val="22"/>
        </w:rPr>
        <w:t xml:space="preserve"> è oramai consolidato nella dinamica che lo caratterizza ivi comprese le problematiche che tipicamente caratterizzano i percorsi di valutazione individuale, come recentemente rappresentati nell’ambito delle linee guida del DFP.</w:t>
      </w:r>
    </w:p>
    <w:p w:rsidR="00002ACA" w:rsidRDefault="00002ACA" w:rsidP="00002ACA">
      <w:pPr>
        <w:pStyle w:val="Default"/>
        <w:ind w:left="360"/>
        <w:jc w:val="both"/>
        <w:rPr>
          <w:rFonts w:ascii="Calibri" w:hAnsi="Calibri"/>
          <w:sz w:val="22"/>
          <w:szCs w:val="22"/>
        </w:rPr>
      </w:pPr>
      <w:r>
        <w:rPr>
          <w:rFonts w:ascii="Calibri" w:hAnsi="Calibri"/>
          <w:sz w:val="22"/>
          <w:szCs w:val="22"/>
        </w:rPr>
        <w:t>Si rimanda a tal proposito ad alcune considerazioni</w:t>
      </w:r>
      <w:r w:rsidR="00531458">
        <w:rPr>
          <w:rFonts w:ascii="Calibri" w:hAnsi="Calibri"/>
          <w:sz w:val="22"/>
          <w:szCs w:val="22"/>
        </w:rPr>
        <w:t xml:space="preserve"> già presenti nelle relazioni</w:t>
      </w:r>
      <w:r w:rsidR="00553AC8">
        <w:rPr>
          <w:rFonts w:ascii="Calibri" w:hAnsi="Calibri"/>
          <w:sz w:val="22"/>
          <w:szCs w:val="22"/>
        </w:rPr>
        <w:t xml:space="preserve"> su</w:t>
      </w:r>
      <w:r>
        <w:rPr>
          <w:rFonts w:ascii="Calibri" w:hAnsi="Calibri"/>
          <w:sz w:val="22"/>
          <w:szCs w:val="22"/>
        </w:rPr>
        <w:t>ll</w:t>
      </w:r>
      <w:r w:rsidR="00531458">
        <w:rPr>
          <w:rFonts w:ascii="Calibri" w:hAnsi="Calibri"/>
          <w:sz w:val="22"/>
          <w:szCs w:val="22"/>
        </w:rPr>
        <w:t xml:space="preserve">a Performance </w:t>
      </w:r>
      <w:r w:rsidR="004809AA">
        <w:rPr>
          <w:rFonts w:ascii="Calibri" w:hAnsi="Calibri"/>
          <w:sz w:val="22"/>
          <w:szCs w:val="22"/>
        </w:rPr>
        <w:t>degli anni precedenti</w:t>
      </w:r>
      <w:r>
        <w:rPr>
          <w:rFonts w:ascii="Calibri" w:hAnsi="Calibri"/>
          <w:sz w:val="22"/>
          <w:szCs w:val="22"/>
        </w:rPr>
        <w:t xml:space="preserve">. </w:t>
      </w:r>
    </w:p>
    <w:p w:rsidR="00FE5EBA" w:rsidRPr="00FE5EBA" w:rsidRDefault="00002ACA" w:rsidP="00AD31D7">
      <w:pPr>
        <w:pStyle w:val="Default"/>
        <w:ind w:left="360"/>
        <w:jc w:val="both"/>
        <w:rPr>
          <w:rFonts w:ascii="Calibri" w:hAnsi="Calibri"/>
          <w:color w:val="auto"/>
          <w:sz w:val="22"/>
          <w:szCs w:val="22"/>
        </w:rPr>
      </w:pPr>
      <w:r w:rsidRPr="005A7D9F">
        <w:rPr>
          <w:rFonts w:ascii="Calibri" w:hAnsi="Calibri"/>
          <w:sz w:val="22"/>
          <w:szCs w:val="22"/>
        </w:rPr>
        <w:t xml:space="preserve">In una logica di miglioramento e di sempre maggiore </w:t>
      </w:r>
      <w:r w:rsidRPr="005A7D9F">
        <w:rPr>
          <w:rFonts w:ascii="Calibri" w:hAnsi="Calibri"/>
          <w:color w:val="auto"/>
          <w:sz w:val="22"/>
          <w:szCs w:val="22"/>
        </w:rPr>
        <w:t xml:space="preserve">efficacia del sistema di misurazione e valutazione si ritiene utile riportare in questa relazione </w:t>
      </w:r>
      <w:r w:rsidR="00730407" w:rsidRPr="005A7D9F">
        <w:rPr>
          <w:rFonts w:ascii="Calibri" w:hAnsi="Calibri"/>
          <w:color w:val="auto"/>
          <w:sz w:val="22"/>
          <w:szCs w:val="22"/>
        </w:rPr>
        <w:t>considerazioni già fatte da questo Organismo Indipendente di Valutazione con la Direzione e contenute nei verbali redatti</w:t>
      </w:r>
      <w:r w:rsidR="00531458" w:rsidRPr="005A7D9F">
        <w:rPr>
          <w:rFonts w:ascii="Calibri" w:hAnsi="Calibri"/>
          <w:color w:val="auto"/>
          <w:sz w:val="22"/>
          <w:szCs w:val="22"/>
        </w:rPr>
        <w:t xml:space="preserve"> rispetto alle quali comunque va riconosciuto che l’Istituto ha implementato alcuni dei suggerimenti proposti</w:t>
      </w:r>
      <w:r w:rsidR="00730407" w:rsidRPr="005A7D9F">
        <w:rPr>
          <w:rFonts w:ascii="Calibri" w:hAnsi="Calibri"/>
          <w:color w:val="auto"/>
          <w:sz w:val="22"/>
          <w:szCs w:val="22"/>
        </w:rPr>
        <w:t>.</w:t>
      </w:r>
      <w:r w:rsidR="00531458" w:rsidRPr="005A7D9F">
        <w:rPr>
          <w:rFonts w:ascii="Calibri" w:hAnsi="Calibri"/>
          <w:color w:val="auto"/>
          <w:sz w:val="22"/>
          <w:szCs w:val="22"/>
        </w:rPr>
        <w:t xml:space="preserve"> </w:t>
      </w:r>
    </w:p>
    <w:p w:rsidR="0095787B" w:rsidRPr="0095787B" w:rsidRDefault="00002ACA" w:rsidP="00FE5EBA">
      <w:pPr>
        <w:pStyle w:val="Default"/>
        <w:ind w:left="360"/>
        <w:jc w:val="both"/>
        <w:rPr>
          <w:rFonts w:ascii="Calibri" w:hAnsi="Calibri"/>
          <w:sz w:val="22"/>
          <w:szCs w:val="22"/>
        </w:rPr>
      </w:pPr>
      <w:r w:rsidRPr="00FE5EBA">
        <w:rPr>
          <w:rFonts w:ascii="Calibri" w:hAnsi="Calibri"/>
          <w:color w:val="auto"/>
          <w:sz w:val="22"/>
          <w:szCs w:val="22"/>
        </w:rPr>
        <w:t xml:space="preserve">Nello </w:t>
      </w:r>
      <w:r w:rsidR="00AD31D7" w:rsidRPr="00FE5EBA">
        <w:rPr>
          <w:rFonts w:ascii="Calibri" w:hAnsi="Calibri"/>
          <w:color w:val="auto"/>
          <w:sz w:val="22"/>
          <w:szCs w:val="22"/>
        </w:rPr>
        <w:t xml:space="preserve">specifico l’OIV, </w:t>
      </w:r>
      <w:r w:rsidR="0095787B" w:rsidRPr="00FE5EBA">
        <w:rPr>
          <w:rFonts w:ascii="Calibri" w:hAnsi="Calibri"/>
          <w:color w:val="auto"/>
          <w:sz w:val="22"/>
          <w:szCs w:val="22"/>
        </w:rPr>
        <w:t xml:space="preserve">confermando la positività dell’impianto, ritiene </w:t>
      </w:r>
      <w:r w:rsidR="00531458" w:rsidRPr="00FE5EBA">
        <w:rPr>
          <w:rFonts w:ascii="Calibri" w:hAnsi="Calibri"/>
          <w:color w:val="auto"/>
          <w:sz w:val="22"/>
          <w:szCs w:val="22"/>
        </w:rPr>
        <w:t>utile</w:t>
      </w:r>
      <w:r w:rsidR="0095787B" w:rsidRPr="00FE5EBA">
        <w:rPr>
          <w:rFonts w:ascii="Calibri" w:hAnsi="Calibri"/>
          <w:color w:val="auto"/>
          <w:sz w:val="22"/>
          <w:szCs w:val="22"/>
        </w:rPr>
        <w:t xml:space="preserve"> r</w:t>
      </w:r>
      <w:r w:rsidR="00FE5EBA" w:rsidRPr="00FE5EBA">
        <w:rPr>
          <w:rFonts w:ascii="Calibri" w:hAnsi="Calibri"/>
          <w:color w:val="auto"/>
          <w:sz w:val="22"/>
          <w:szCs w:val="22"/>
        </w:rPr>
        <w:t>icordare</w:t>
      </w:r>
      <w:r w:rsidR="00AD31D7" w:rsidRPr="00FE5EBA">
        <w:rPr>
          <w:rFonts w:ascii="Calibri" w:hAnsi="Calibri"/>
          <w:color w:val="auto"/>
          <w:sz w:val="22"/>
          <w:szCs w:val="22"/>
        </w:rPr>
        <w:t xml:space="preserve"> </w:t>
      </w:r>
      <w:r w:rsidR="00E42F27" w:rsidRPr="00FE5EBA">
        <w:rPr>
          <w:rFonts w:ascii="Calibri" w:hAnsi="Calibri"/>
          <w:sz w:val="22"/>
          <w:szCs w:val="22"/>
        </w:rPr>
        <w:t>alcuni</w:t>
      </w:r>
      <w:r w:rsidR="0095787B" w:rsidRPr="00FE5EBA">
        <w:rPr>
          <w:rFonts w:ascii="Calibri" w:hAnsi="Calibri"/>
          <w:sz w:val="22"/>
          <w:szCs w:val="22"/>
        </w:rPr>
        <w:t xml:space="preserve"> </w:t>
      </w:r>
      <w:r w:rsidR="00AD31D7" w:rsidRPr="00FE5EBA">
        <w:rPr>
          <w:rFonts w:ascii="Calibri" w:hAnsi="Calibri"/>
          <w:sz w:val="22"/>
          <w:szCs w:val="22"/>
        </w:rPr>
        <w:t xml:space="preserve">degli </w:t>
      </w:r>
      <w:r w:rsidR="0095787B" w:rsidRPr="00FE5EBA">
        <w:rPr>
          <w:rFonts w:ascii="Calibri" w:hAnsi="Calibri"/>
          <w:sz w:val="22"/>
          <w:szCs w:val="22"/>
        </w:rPr>
        <w:t xml:space="preserve">aspetti </w:t>
      </w:r>
      <w:r w:rsidR="00531458" w:rsidRPr="00FE5EBA">
        <w:rPr>
          <w:rFonts w:ascii="Calibri" w:hAnsi="Calibri"/>
          <w:sz w:val="22"/>
          <w:szCs w:val="22"/>
        </w:rPr>
        <w:t>di</w:t>
      </w:r>
      <w:r w:rsidR="0095787B" w:rsidRPr="00FE5EBA">
        <w:rPr>
          <w:rFonts w:ascii="Calibri" w:hAnsi="Calibri"/>
          <w:sz w:val="22"/>
          <w:szCs w:val="22"/>
        </w:rPr>
        <w:t xml:space="preserve"> miglioramento </w:t>
      </w:r>
      <w:r w:rsidR="00FE5EBA" w:rsidRPr="00FE5EBA">
        <w:rPr>
          <w:rFonts w:ascii="Calibri" w:hAnsi="Calibri"/>
          <w:sz w:val="22"/>
          <w:szCs w:val="22"/>
        </w:rPr>
        <w:t>realizzati da</w:t>
      </w:r>
      <w:r w:rsidR="0095787B" w:rsidRPr="00FE5EBA">
        <w:rPr>
          <w:rFonts w:ascii="Calibri" w:hAnsi="Calibri"/>
          <w:sz w:val="22"/>
          <w:szCs w:val="22"/>
        </w:rPr>
        <w:t xml:space="preserve">ll’Istituto </w:t>
      </w:r>
      <w:r w:rsidR="00E42F27" w:rsidRPr="00FE5EBA">
        <w:rPr>
          <w:rFonts w:ascii="Calibri" w:hAnsi="Calibri"/>
          <w:sz w:val="22"/>
          <w:szCs w:val="22"/>
        </w:rPr>
        <w:t>rispetto a</w:t>
      </w:r>
      <w:r w:rsidR="0095787B" w:rsidRPr="00FE5EBA">
        <w:rPr>
          <w:rFonts w:ascii="Calibri" w:hAnsi="Calibri"/>
          <w:sz w:val="22"/>
          <w:szCs w:val="22"/>
        </w:rPr>
        <w:t xml:space="preserve"> situazioni </w:t>
      </w:r>
      <w:r w:rsidR="00AD31D7" w:rsidRPr="00FE5EBA">
        <w:rPr>
          <w:rFonts w:ascii="Calibri" w:hAnsi="Calibri"/>
          <w:sz w:val="22"/>
          <w:szCs w:val="22"/>
        </w:rPr>
        <w:t xml:space="preserve">precedenti </w:t>
      </w:r>
      <w:r w:rsidR="0095787B" w:rsidRPr="00FE5EBA">
        <w:rPr>
          <w:rFonts w:ascii="Calibri" w:hAnsi="Calibri"/>
          <w:sz w:val="22"/>
          <w:szCs w:val="22"/>
        </w:rPr>
        <w:t>divergenti</w:t>
      </w:r>
      <w:r w:rsidR="00531458" w:rsidRPr="00FE5EBA">
        <w:rPr>
          <w:rFonts w:ascii="Calibri" w:hAnsi="Calibri"/>
          <w:sz w:val="22"/>
          <w:szCs w:val="22"/>
        </w:rPr>
        <w:t xml:space="preserve">, </w:t>
      </w:r>
      <w:r w:rsidR="00FE5EBA" w:rsidRPr="00FE5EBA">
        <w:rPr>
          <w:rFonts w:ascii="Calibri" w:hAnsi="Calibri"/>
          <w:sz w:val="22"/>
          <w:szCs w:val="22"/>
        </w:rPr>
        <w:t>anche tenendo conto dell</w:t>
      </w:r>
      <w:r w:rsidR="00DD72B5">
        <w:rPr>
          <w:rFonts w:ascii="Calibri" w:hAnsi="Calibri"/>
          <w:sz w:val="22"/>
          <w:szCs w:val="22"/>
        </w:rPr>
        <w:t>’incidenza per l’anno 2022</w:t>
      </w:r>
      <w:r w:rsidR="00E42F27" w:rsidRPr="00FE5EBA">
        <w:rPr>
          <w:rFonts w:ascii="Calibri" w:hAnsi="Calibri"/>
          <w:sz w:val="22"/>
          <w:szCs w:val="22"/>
        </w:rPr>
        <w:t xml:space="preserve"> </w:t>
      </w:r>
      <w:r w:rsidR="00FE5EBA">
        <w:rPr>
          <w:rFonts w:ascii="Calibri" w:hAnsi="Calibri"/>
          <w:sz w:val="22"/>
          <w:szCs w:val="22"/>
        </w:rPr>
        <w:t>del</w:t>
      </w:r>
      <w:r w:rsidR="00E42F27" w:rsidRPr="00FE5EBA">
        <w:rPr>
          <w:rFonts w:ascii="Calibri" w:hAnsi="Calibri"/>
          <w:sz w:val="22"/>
          <w:szCs w:val="22"/>
        </w:rPr>
        <w:t>l</w:t>
      </w:r>
      <w:r w:rsidR="00DD72B5">
        <w:rPr>
          <w:rFonts w:ascii="Calibri" w:hAnsi="Calibri"/>
          <w:sz w:val="22"/>
          <w:szCs w:val="22"/>
        </w:rPr>
        <w:t>a coda dell</w:t>
      </w:r>
      <w:r w:rsidR="00E42F27" w:rsidRPr="00FE5EBA">
        <w:rPr>
          <w:rFonts w:ascii="Calibri" w:hAnsi="Calibri"/>
          <w:sz w:val="22"/>
          <w:szCs w:val="22"/>
        </w:rPr>
        <w:t>’emergenza pandemica</w:t>
      </w:r>
      <w:r w:rsidR="00FE5EBA" w:rsidRPr="00FE5EBA">
        <w:rPr>
          <w:rFonts w:ascii="Calibri" w:hAnsi="Calibri"/>
          <w:sz w:val="22"/>
          <w:szCs w:val="22"/>
        </w:rPr>
        <w:t xml:space="preserve">, quali il recupero, in termini temporali, </w:t>
      </w:r>
      <w:r w:rsidR="000A3244">
        <w:rPr>
          <w:rFonts w:ascii="Calibri" w:hAnsi="Calibri"/>
          <w:sz w:val="22"/>
          <w:szCs w:val="22"/>
        </w:rPr>
        <w:t xml:space="preserve">circa </w:t>
      </w:r>
      <w:r w:rsidR="00FE5EBA" w:rsidRPr="00FE5EBA">
        <w:rPr>
          <w:rFonts w:ascii="Calibri" w:hAnsi="Calibri"/>
          <w:sz w:val="22"/>
          <w:szCs w:val="22"/>
        </w:rPr>
        <w:t xml:space="preserve">la chiusura delle </w:t>
      </w:r>
      <w:r w:rsidR="0095787B" w:rsidRPr="00FE5EBA">
        <w:rPr>
          <w:rFonts w:ascii="Calibri" w:hAnsi="Calibri"/>
          <w:sz w:val="22"/>
          <w:szCs w:val="22"/>
        </w:rPr>
        <w:t>negoziazioni</w:t>
      </w:r>
      <w:r w:rsidR="00FE5EBA" w:rsidRPr="00FE5EBA">
        <w:rPr>
          <w:rFonts w:ascii="Calibri" w:hAnsi="Calibri"/>
          <w:sz w:val="22"/>
          <w:szCs w:val="22"/>
        </w:rPr>
        <w:t xml:space="preserve"> di </w:t>
      </w:r>
      <w:r w:rsidR="0095787B" w:rsidRPr="00FE5EBA">
        <w:rPr>
          <w:rFonts w:ascii="Calibri" w:hAnsi="Calibri"/>
          <w:sz w:val="22"/>
          <w:szCs w:val="22"/>
        </w:rPr>
        <w:t>Budget</w:t>
      </w:r>
      <w:r w:rsidR="00FE5EBA">
        <w:rPr>
          <w:rFonts w:ascii="Calibri" w:hAnsi="Calibri"/>
          <w:sz w:val="22"/>
          <w:szCs w:val="22"/>
        </w:rPr>
        <w:t>.</w:t>
      </w:r>
    </w:p>
    <w:p w:rsidR="00111A0A" w:rsidRDefault="00111A0A" w:rsidP="0095787B">
      <w:pPr>
        <w:pStyle w:val="Default"/>
        <w:ind w:left="360"/>
        <w:jc w:val="both"/>
        <w:rPr>
          <w:rFonts w:ascii="Calibri" w:hAnsi="Calibri"/>
          <w:sz w:val="22"/>
          <w:szCs w:val="22"/>
        </w:rPr>
      </w:pPr>
    </w:p>
    <w:p w:rsidR="00551055" w:rsidRPr="005F4F27" w:rsidRDefault="00551055" w:rsidP="00551055">
      <w:pPr>
        <w:pStyle w:val="Titolo1"/>
        <w:numPr>
          <w:ilvl w:val="0"/>
          <w:numId w:val="1"/>
        </w:numPr>
        <w:tabs>
          <w:tab w:val="num" w:pos="432"/>
          <w:tab w:val="num" w:pos="540"/>
        </w:tabs>
        <w:ind w:left="432" w:hanging="432"/>
        <w:jc w:val="left"/>
        <w:rPr>
          <w:rFonts w:asciiTheme="minorHAnsi" w:hAnsiTheme="minorHAnsi"/>
          <w:sz w:val="24"/>
          <w:szCs w:val="24"/>
        </w:rPr>
      </w:pPr>
      <w:bookmarkStart w:id="11" w:name="_Toc70581326"/>
      <w:r>
        <w:rPr>
          <w:rFonts w:asciiTheme="minorHAnsi" w:hAnsiTheme="minorHAnsi"/>
          <w:sz w:val="24"/>
          <w:szCs w:val="24"/>
        </w:rPr>
        <w:lastRenderedPageBreak/>
        <w:t>Descrizione delle modalità di monitoraggio dell’OIV</w:t>
      </w:r>
      <w:bookmarkEnd w:id="11"/>
      <w:r w:rsidRPr="005F4F27">
        <w:rPr>
          <w:rFonts w:asciiTheme="minorHAnsi" w:hAnsiTheme="minorHAnsi"/>
          <w:sz w:val="24"/>
          <w:szCs w:val="24"/>
        </w:rPr>
        <w:t xml:space="preserve"> </w:t>
      </w:r>
    </w:p>
    <w:p w:rsidR="004F2208" w:rsidRPr="004F2208" w:rsidRDefault="00E42F27" w:rsidP="004F2208">
      <w:pPr>
        <w:pStyle w:val="Default"/>
        <w:ind w:left="360"/>
        <w:jc w:val="both"/>
        <w:rPr>
          <w:rFonts w:ascii="Calibri" w:hAnsi="Calibri"/>
          <w:sz w:val="22"/>
          <w:szCs w:val="22"/>
        </w:rPr>
      </w:pPr>
      <w:r>
        <w:rPr>
          <w:rFonts w:ascii="Calibri" w:hAnsi="Calibri"/>
          <w:sz w:val="22"/>
          <w:szCs w:val="22"/>
        </w:rPr>
        <w:t>L’</w:t>
      </w:r>
      <w:r w:rsidR="00730407">
        <w:rPr>
          <w:rFonts w:ascii="Calibri" w:hAnsi="Calibri"/>
          <w:sz w:val="22"/>
          <w:szCs w:val="22"/>
        </w:rPr>
        <w:t>OIV</w:t>
      </w:r>
      <w:r w:rsidR="004F2208" w:rsidRPr="004F2208">
        <w:rPr>
          <w:rFonts w:ascii="Calibri" w:hAnsi="Calibri"/>
          <w:sz w:val="22"/>
          <w:szCs w:val="22"/>
        </w:rPr>
        <w:t xml:space="preserve"> ha effettuato </w:t>
      </w:r>
      <w:r w:rsidR="004F2208">
        <w:rPr>
          <w:rFonts w:ascii="Calibri" w:hAnsi="Calibri"/>
          <w:sz w:val="22"/>
          <w:szCs w:val="22"/>
        </w:rPr>
        <w:t>nel</w:t>
      </w:r>
      <w:r>
        <w:rPr>
          <w:rFonts w:ascii="Calibri" w:hAnsi="Calibri"/>
          <w:sz w:val="22"/>
          <w:szCs w:val="22"/>
        </w:rPr>
        <w:t xml:space="preserve"> 202</w:t>
      </w:r>
      <w:r w:rsidR="00224A3C">
        <w:rPr>
          <w:rFonts w:ascii="Calibri" w:hAnsi="Calibri"/>
          <w:sz w:val="22"/>
          <w:szCs w:val="22"/>
        </w:rPr>
        <w:t>2</w:t>
      </w:r>
      <w:r w:rsidR="004F2208">
        <w:rPr>
          <w:rFonts w:ascii="Calibri" w:hAnsi="Calibri"/>
          <w:sz w:val="22"/>
          <w:szCs w:val="22"/>
        </w:rPr>
        <w:t xml:space="preserve"> </w:t>
      </w:r>
      <w:r>
        <w:rPr>
          <w:rFonts w:ascii="Calibri" w:hAnsi="Calibri"/>
          <w:sz w:val="22"/>
          <w:szCs w:val="22"/>
        </w:rPr>
        <w:t>n. 1</w:t>
      </w:r>
      <w:r w:rsidR="00224A3C">
        <w:rPr>
          <w:rFonts w:ascii="Calibri" w:hAnsi="Calibri"/>
          <w:sz w:val="22"/>
          <w:szCs w:val="22"/>
        </w:rPr>
        <w:t>4</w:t>
      </w:r>
      <w:r w:rsidR="004F2208" w:rsidRPr="004F2208">
        <w:rPr>
          <w:rFonts w:ascii="Calibri" w:hAnsi="Calibri"/>
          <w:sz w:val="22"/>
          <w:szCs w:val="22"/>
        </w:rPr>
        <w:t xml:space="preserve"> incontri. Complessivamente</w:t>
      </w:r>
      <w:r w:rsidR="004F2208">
        <w:rPr>
          <w:rFonts w:ascii="Calibri" w:hAnsi="Calibri"/>
          <w:sz w:val="22"/>
          <w:szCs w:val="22"/>
        </w:rPr>
        <w:t>, compren</w:t>
      </w:r>
      <w:r>
        <w:rPr>
          <w:rFonts w:ascii="Calibri" w:hAnsi="Calibri"/>
          <w:sz w:val="22"/>
          <w:szCs w:val="22"/>
        </w:rPr>
        <w:t>dendo quanto proseguito nel 202</w:t>
      </w:r>
      <w:r w:rsidR="00224A3C">
        <w:rPr>
          <w:rFonts w:ascii="Calibri" w:hAnsi="Calibri"/>
          <w:sz w:val="22"/>
          <w:szCs w:val="22"/>
        </w:rPr>
        <w:t>3</w:t>
      </w:r>
      <w:r w:rsidR="004F2208">
        <w:rPr>
          <w:rFonts w:ascii="Calibri" w:hAnsi="Calibri"/>
          <w:sz w:val="22"/>
          <w:szCs w:val="22"/>
        </w:rPr>
        <w:t>,</w:t>
      </w:r>
      <w:r w:rsidR="004F2208" w:rsidRPr="004F2208">
        <w:rPr>
          <w:rFonts w:ascii="Calibri" w:hAnsi="Calibri"/>
          <w:sz w:val="22"/>
          <w:szCs w:val="22"/>
        </w:rPr>
        <w:t xml:space="preserve"> l’attività del</w:t>
      </w:r>
      <w:r w:rsidR="004F2208">
        <w:rPr>
          <w:rFonts w:ascii="Calibri" w:hAnsi="Calibri"/>
          <w:sz w:val="22"/>
          <w:szCs w:val="22"/>
        </w:rPr>
        <w:t xml:space="preserve">l’Organismo è stata sviluppata </w:t>
      </w:r>
      <w:r w:rsidR="004F2208" w:rsidRPr="004F2208">
        <w:rPr>
          <w:rFonts w:ascii="Calibri" w:hAnsi="Calibri"/>
          <w:sz w:val="22"/>
          <w:szCs w:val="22"/>
        </w:rPr>
        <w:t>attraverso le seguenti modalità di monitoraggio:</w:t>
      </w:r>
    </w:p>
    <w:p w:rsidR="004F2208" w:rsidRPr="00746F21" w:rsidRDefault="004F2208" w:rsidP="004F2208">
      <w:pPr>
        <w:pStyle w:val="Default"/>
        <w:ind w:left="360"/>
        <w:jc w:val="both"/>
        <w:rPr>
          <w:rFonts w:ascii="Calibri" w:hAnsi="Calibri"/>
          <w:sz w:val="22"/>
          <w:szCs w:val="22"/>
        </w:rPr>
      </w:pPr>
      <w:r w:rsidRPr="004F2208">
        <w:rPr>
          <w:rFonts w:ascii="Calibri" w:hAnsi="Calibri"/>
          <w:sz w:val="22"/>
          <w:szCs w:val="22"/>
        </w:rPr>
        <w:t>•</w:t>
      </w:r>
      <w:r w:rsidRPr="004F2208">
        <w:rPr>
          <w:rFonts w:ascii="Calibri" w:hAnsi="Calibri"/>
          <w:sz w:val="22"/>
          <w:szCs w:val="22"/>
        </w:rPr>
        <w:tab/>
      </w:r>
      <w:r w:rsidR="008C6104" w:rsidRPr="008C6104">
        <w:rPr>
          <w:rFonts w:ascii="Calibri" w:hAnsi="Calibri"/>
          <w:sz w:val="22"/>
          <w:szCs w:val="22"/>
        </w:rPr>
        <w:t>monitoraggio</w:t>
      </w:r>
      <w:r w:rsidR="008C6104">
        <w:rPr>
          <w:rFonts w:ascii="Calibri" w:hAnsi="Calibri"/>
          <w:sz w:val="22"/>
          <w:szCs w:val="22"/>
        </w:rPr>
        <w:t xml:space="preserve"> concomitante</w:t>
      </w:r>
      <w:r w:rsidRPr="008C6104">
        <w:rPr>
          <w:rFonts w:ascii="Calibri" w:hAnsi="Calibri"/>
          <w:sz w:val="22"/>
          <w:szCs w:val="22"/>
        </w:rPr>
        <w:t xml:space="preserve"> del</w:t>
      </w:r>
      <w:r w:rsidR="00DD72B5" w:rsidRPr="008C6104">
        <w:rPr>
          <w:rFonts w:ascii="Calibri" w:hAnsi="Calibri"/>
          <w:sz w:val="22"/>
          <w:szCs w:val="22"/>
        </w:rPr>
        <w:t>lo stato di avanzamento del</w:t>
      </w:r>
      <w:r w:rsidRPr="008C6104">
        <w:rPr>
          <w:rFonts w:ascii="Calibri" w:hAnsi="Calibri"/>
          <w:sz w:val="22"/>
          <w:szCs w:val="22"/>
        </w:rPr>
        <w:t xml:space="preserve"> grado di raggiungimento degli obiettivi </w:t>
      </w:r>
      <w:r w:rsidRPr="00746F21">
        <w:rPr>
          <w:rFonts w:ascii="Calibri" w:hAnsi="Calibri"/>
          <w:sz w:val="22"/>
          <w:szCs w:val="22"/>
        </w:rPr>
        <w:t>attraverso la documentazione e i dati forniti dalla struttura di supporto</w:t>
      </w:r>
    </w:p>
    <w:p w:rsidR="004F2208" w:rsidRPr="00746F21" w:rsidRDefault="004F2208" w:rsidP="004F2208">
      <w:pPr>
        <w:pStyle w:val="Default"/>
        <w:ind w:left="360"/>
        <w:jc w:val="both"/>
        <w:rPr>
          <w:rFonts w:ascii="Calibri" w:hAnsi="Calibri"/>
          <w:sz w:val="22"/>
          <w:szCs w:val="22"/>
        </w:rPr>
      </w:pPr>
      <w:r w:rsidRPr="00746F21">
        <w:rPr>
          <w:rFonts w:ascii="Calibri" w:hAnsi="Calibri"/>
          <w:sz w:val="22"/>
          <w:szCs w:val="22"/>
        </w:rPr>
        <w:t>•</w:t>
      </w:r>
      <w:r w:rsidRPr="00746F21">
        <w:rPr>
          <w:rFonts w:ascii="Calibri" w:hAnsi="Calibri"/>
          <w:sz w:val="22"/>
          <w:szCs w:val="22"/>
        </w:rPr>
        <w:tab/>
        <w:t>verifica e validazione del percorso di attribuzione dei premi al personale;</w:t>
      </w:r>
    </w:p>
    <w:p w:rsidR="004F2208" w:rsidRPr="004F2208" w:rsidRDefault="004F2208" w:rsidP="004F2208">
      <w:pPr>
        <w:pStyle w:val="Default"/>
        <w:ind w:left="360"/>
        <w:jc w:val="both"/>
        <w:rPr>
          <w:rFonts w:ascii="Calibri" w:hAnsi="Calibri"/>
          <w:sz w:val="22"/>
          <w:szCs w:val="22"/>
        </w:rPr>
      </w:pPr>
      <w:r w:rsidRPr="00DD72B5">
        <w:rPr>
          <w:rFonts w:ascii="Calibri" w:hAnsi="Calibri"/>
          <w:sz w:val="22"/>
          <w:szCs w:val="22"/>
        </w:rPr>
        <w:t>•</w:t>
      </w:r>
      <w:r w:rsidRPr="00DD72B5">
        <w:rPr>
          <w:rFonts w:ascii="Calibri" w:hAnsi="Calibri"/>
          <w:sz w:val="22"/>
          <w:szCs w:val="22"/>
        </w:rPr>
        <w:tab/>
        <w:t>gestione delle valutazioni di seconda istanza, analisi documentale, audizioni;</w:t>
      </w:r>
    </w:p>
    <w:p w:rsidR="00F25640" w:rsidRDefault="004F2208" w:rsidP="00F25640">
      <w:pPr>
        <w:pStyle w:val="Default"/>
        <w:ind w:left="360"/>
        <w:jc w:val="both"/>
        <w:rPr>
          <w:rFonts w:ascii="Calibri" w:hAnsi="Calibri"/>
          <w:sz w:val="22"/>
          <w:szCs w:val="22"/>
        </w:rPr>
      </w:pPr>
      <w:r w:rsidRPr="00F25640">
        <w:rPr>
          <w:rFonts w:ascii="Calibri" w:hAnsi="Calibri"/>
          <w:sz w:val="22"/>
          <w:szCs w:val="22"/>
        </w:rPr>
        <w:t>•</w:t>
      </w:r>
      <w:r w:rsidR="00F25640" w:rsidRPr="004F2208">
        <w:rPr>
          <w:rFonts w:ascii="Calibri" w:hAnsi="Calibri"/>
          <w:sz w:val="22"/>
          <w:szCs w:val="22"/>
        </w:rPr>
        <w:tab/>
        <w:t>incontri e colloqui con i diretti interessati e con le articolazioni coinvolte;</w:t>
      </w:r>
    </w:p>
    <w:p w:rsidR="004F2208" w:rsidRPr="004F2208" w:rsidRDefault="004F2208" w:rsidP="00F25640">
      <w:pPr>
        <w:pStyle w:val="Default"/>
        <w:numPr>
          <w:ilvl w:val="0"/>
          <w:numId w:val="22"/>
        </w:numPr>
        <w:jc w:val="both"/>
        <w:rPr>
          <w:rFonts w:ascii="Calibri" w:hAnsi="Calibri"/>
          <w:sz w:val="22"/>
          <w:szCs w:val="22"/>
        </w:rPr>
      </w:pPr>
      <w:r w:rsidRPr="00F25640">
        <w:rPr>
          <w:rFonts w:ascii="Calibri" w:hAnsi="Calibri"/>
          <w:sz w:val="22"/>
          <w:szCs w:val="22"/>
        </w:rPr>
        <w:t>verifica dello stato di attuazione della sezione amministrazione trasparente e delle attività correlate sia attraverso confronto con il responsabile che tramite l’analisi dei dati pubblicati;</w:t>
      </w:r>
    </w:p>
    <w:p w:rsidR="004F2208" w:rsidRPr="004F2208" w:rsidRDefault="004F2208" w:rsidP="004F2208">
      <w:pPr>
        <w:pStyle w:val="Default"/>
        <w:ind w:left="360"/>
        <w:jc w:val="both"/>
        <w:rPr>
          <w:rFonts w:ascii="Calibri" w:hAnsi="Calibri"/>
          <w:sz w:val="22"/>
          <w:szCs w:val="22"/>
        </w:rPr>
      </w:pPr>
      <w:r w:rsidRPr="004F2208">
        <w:rPr>
          <w:rFonts w:ascii="Calibri" w:hAnsi="Calibri"/>
          <w:sz w:val="22"/>
          <w:szCs w:val="22"/>
        </w:rPr>
        <w:t>•</w:t>
      </w:r>
      <w:r w:rsidRPr="004F2208">
        <w:rPr>
          <w:rFonts w:ascii="Calibri" w:hAnsi="Calibri"/>
          <w:sz w:val="22"/>
          <w:szCs w:val="22"/>
        </w:rPr>
        <w:tab/>
        <w:t xml:space="preserve">verifica coerenza tra piano anticorruzione ed obiettivi declinati nel </w:t>
      </w:r>
      <w:r w:rsidR="00F25640">
        <w:rPr>
          <w:rFonts w:ascii="Calibri" w:hAnsi="Calibri"/>
          <w:sz w:val="22"/>
          <w:szCs w:val="22"/>
        </w:rPr>
        <w:t>Piano della Perfo</w:t>
      </w:r>
      <w:r w:rsidR="00DF6432">
        <w:rPr>
          <w:rFonts w:ascii="Calibri" w:hAnsi="Calibri"/>
          <w:sz w:val="22"/>
          <w:szCs w:val="22"/>
        </w:rPr>
        <w:t>r</w:t>
      </w:r>
      <w:r w:rsidR="00F25640">
        <w:rPr>
          <w:rFonts w:ascii="Calibri" w:hAnsi="Calibri"/>
          <w:sz w:val="22"/>
          <w:szCs w:val="22"/>
        </w:rPr>
        <w:t>mance</w:t>
      </w:r>
      <w:r w:rsidRPr="004F2208">
        <w:rPr>
          <w:rFonts w:ascii="Calibri" w:hAnsi="Calibri"/>
          <w:sz w:val="22"/>
          <w:szCs w:val="22"/>
        </w:rPr>
        <w:t>;</w:t>
      </w:r>
    </w:p>
    <w:p w:rsidR="00730407" w:rsidRDefault="004F2208" w:rsidP="004F2208">
      <w:pPr>
        <w:pStyle w:val="Default"/>
        <w:ind w:left="360"/>
        <w:jc w:val="both"/>
        <w:rPr>
          <w:rFonts w:ascii="Calibri" w:hAnsi="Calibri"/>
          <w:sz w:val="22"/>
          <w:szCs w:val="22"/>
        </w:rPr>
      </w:pPr>
      <w:r w:rsidRPr="004F2208">
        <w:rPr>
          <w:rFonts w:ascii="Calibri" w:hAnsi="Calibri"/>
          <w:sz w:val="22"/>
          <w:szCs w:val="22"/>
        </w:rPr>
        <w:t>•</w:t>
      </w:r>
      <w:r w:rsidRPr="004F2208">
        <w:rPr>
          <w:rFonts w:ascii="Calibri" w:hAnsi="Calibri"/>
          <w:sz w:val="22"/>
          <w:szCs w:val="22"/>
        </w:rPr>
        <w:tab/>
        <w:t>confronto con la direzione strategica per analizzare le caratteristiche peculiari dell’Istituto e per condividere alcuni interventi di miglioramento</w:t>
      </w:r>
    </w:p>
    <w:p w:rsidR="00B4756B" w:rsidRDefault="00B4756B" w:rsidP="00111A0A">
      <w:pPr>
        <w:pStyle w:val="Default"/>
        <w:ind w:left="360"/>
        <w:jc w:val="both"/>
        <w:rPr>
          <w:rFonts w:ascii="Calibri" w:hAnsi="Calibri"/>
          <w:sz w:val="22"/>
          <w:szCs w:val="22"/>
        </w:rPr>
      </w:pPr>
    </w:p>
    <w:p w:rsidR="004F2208" w:rsidRDefault="004F2208" w:rsidP="00111A0A">
      <w:pPr>
        <w:pStyle w:val="Default"/>
        <w:ind w:left="360"/>
        <w:jc w:val="both"/>
        <w:rPr>
          <w:rFonts w:ascii="Calibri" w:hAnsi="Calibri"/>
          <w:sz w:val="22"/>
          <w:szCs w:val="22"/>
        </w:rPr>
      </w:pPr>
      <w:r>
        <w:rPr>
          <w:rFonts w:ascii="Calibri" w:hAnsi="Calibri"/>
          <w:sz w:val="22"/>
          <w:szCs w:val="22"/>
        </w:rPr>
        <w:t>Più analiticamente si rappresenta lo sviluppo degli incontri fino ad oggi realizzato</w:t>
      </w:r>
    </w:p>
    <w:p w:rsidR="004F2208" w:rsidRDefault="004F2208" w:rsidP="00111A0A">
      <w:pPr>
        <w:pStyle w:val="Default"/>
        <w:ind w:left="360"/>
        <w:jc w:val="both"/>
        <w:rPr>
          <w:rFonts w:ascii="Calibri" w:hAnsi="Calibri"/>
          <w:sz w:val="22"/>
          <w:szCs w:val="22"/>
        </w:rPr>
      </w:pPr>
    </w:p>
    <w:tbl>
      <w:tblPr>
        <w:tblW w:w="0" w:type="auto"/>
        <w:tblInd w:w="460" w:type="dxa"/>
        <w:tblCellMar>
          <w:left w:w="0" w:type="dxa"/>
          <w:right w:w="0" w:type="dxa"/>
        </w:tblCellMar>
        <w:tblLook w:val="04A0" w:firstRow="1" w:lastRow="0" w:firstColumn="1" w:lastColumn="0" w:noHBand="0" w:noVBand="1"/>
      </w:tblPr>
      <w:tblGrid>
        <w:gridCol w:w="1489"/>
        <w:gridCol w:w="8116"/>
      </w:tblGrid>
      <w:tr w:rsidR="00562B5B" w:rsidTr="00562B5B">
        <w:trPr>
          <w:trHeight w:val="268"/>
        </w:trPr>
        <w:tc>
          <w:tcPr>
            <w:tcW w:w="1489" w:type="dxa"/>
            <w:tcBorders>
              <w:top w:val="single" w:sz="8" w:space="0" w:color="000000"/>
              <w:left w:val="single" w:sz="8" w:space="0" w:color="000000"/>
              <w:bottom w:val="single" w:sz="8" w:space="0" w:color="000000"/>
              <w:right w:val="single" w:sz="8" w:space="0" w:color="000000"/>
            </w:tcBorders>
            <w:hideMark/>
          </w:tcPr>
          <w:p w:rsidR="00562B5B" w:rsidRDefault="00562B5B">
            <w:pPr>
              <w:pStyle w:val="TableParagraph"/>
              <w:rPr>
                <w:b/>
                <w:bCs/>
                <w:lang w:val="en-US" w:eastAsia="en-US"/>
              </w:rPr>
            </w:pPr>
            <w:r>
              <w:rPr>
                <w:b/>
                <w:bCs/>
                <w:lang w:val="en-US" w:eastAsia="en-US"/>
              </w:rPr>
              <w:t xml:space="preserve">Data </w:t>
            </w:r>
            <w:proofErr w:type="spellStart"/>
            <w:r>
              <w:rPr>
                <w:b/>
                <w:bCs/>
                <w:lang w:val="en-US" w:eastAsia="en-US"/>
              </w:rPr>
              <w:t>incontro</w:t>
            </w:r>
            <w:proofErr w:type="spellEnd"/>
          </w:p>
        </w:tc>
        <w:tc>
          <w:tcPr>
            <w:tcW w:w="8116" w:type="dxa"/>
            <w:tcBorders>
              <w:top w:val="single" w:sz="8" w:space="0" w:color="000000"/>
              <w:left w:val="nil"/>
              <w:bottom w:val="single" w:sz="8" w:space="0" w:color="000000"/>
              <w:right w:val="single" w:sz="8" w:space="0" w:color="000000"/>
            </w:tcBorders>
            <w:hideMark/>
          </w:tcPr>
          <w:p w:rsidR="00562B5B" w:rsidRDefault="00562B5B">
            <w:pPr>
              <w:pStyle w:val="TableParagraph"/>
              <w:rPr>
                <w:b/>
                <w:bCs/>
                <w:lang w:val="en-US" w:eastAsia="en-US"/>
              </w:rPr>
            </w:pPr>
            <w:proofErr w:type="spellStart"/>
            <w:r>
              <w:rPr>
                <w:b/>
                <w:bCs/>
                <w:lang w:val="en-US" w:eastAsia="en-US"/>
              </w:rPr>
              <w:t>Sintesi</w:t>
            </w:r>
            <w:proofErr w:type="spellEnd"/>
            <w:r>
              <w:rPr>
                <w:b/>
                <w:bCs/>
                <w:lang w:val="en-US" w:eastAsia="en-US"/>
              </w:rPr>
              <w:t xml:space="preserve"> </w:t>
            </w:r>
            <w:proofErr w:type="spellStart"/>
            <w:r>
              <w:rPr>
                <w:b/>
                <w:bCs/>
                <w:lang w:val="en-US" w:eastAsia="en-US"/>
              </w:rPr>
              <w:t>attività</w:t>
            </w:r>
            <w:proofErr w:type="spellEnd"/>
          </w:p>
        </w:tc>
      </w:tr>
      <w:tr w:rsidR="00562B5B" w:rsidTr="00562B5B">
        <w:trPr>
          <w:trHeight w:val="886"/>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spacing w:line="268" w:lineRule="exact"/>
              <w:jc w:val="center"/>
              <w:rPr>
                <w:lang w:val="en-US" w:eastAsia="en-US"/>
              </w:rPr>
            </w:pPr>
            <w:r>
              <w:rPr>
                <w:lang w:val="en-US" w:eastAsia="en-US"/>
              </w:rPr>
              <w:t>26/04/2022</w:t>
            </w:r>
          </w:p>
        </w:tc>
        <w:tc>
          <w:tcPr>
            <w:tcW w:w="8116" w:type="dxa"/>
            <w:tcBorders>
              <w:top w:val="nil"/>
              <w:left w:val="nil"/>
              <w:bottom w:val="single" w:sz="8" w:space="0" w:color="000000"/>
              <w:right w:val="single" w:sz="8" w:space="0" w:color="000000"/>
            </w:tcBorders>
            <w:hideMark/>
          </w:tcPr>
          <w:p w:rsidR="00562B5B" w:rsidRDefault="00562B5B">
            <w:pPr>
              <w:pStyle w:val="TableParagraph"/>
              <w:spacing w:line="268" w:lineRule="exact"/>
              <w:ind w:left="0"/>
              <w:rPr>
                <w:lang w:eastAsia="en-US"/>
              </w:rPr>
            </w:pPr>
            <w:r>
              <w:rPr>
                <w:lang w:eastAsia="en-US"/>
              </w:rPr>
              <w:t xml:space="preserve">Relazione dell’OIV sul funzionamento complessivo del sistema di valutazione, trasparenza e integrità dei controlli interni in attuazione dell’art. 14, comma 4, lettera a) del </w:t>
            </w:r>
            <w:proofErr w:type="spellStart"/>
            <w:r>
              <w:rPr>
                <w:lang w:eastAsia="en-US"/>
              </w:rPr>
              <w:t>D.Lgs.</w:t>
            </w:r>
            <w:proofErr w:type="spellEnd"/>
            <w:r>
              <w:rPr>
                <w:lang w:eastAsia="en-US"/>
              </w:rPr>
              <w:t xml:space="preserve"> n. 150/2009;</w:t>
            </w:r>
          </w:p>
          <w:p w:rsidR="00562B5B" w:rsidRDefault="00562B5B">
            <w:pPr>
              <w:pStyle w:val="TableParagraph"/>
              <w:spacing w:line="268" w:lineRule="exact"/>
              <w:ind w:left="0"/>
              <w:rPr>
                <w:lang w:eastAsia="en-US"/>
              </w:rPr>
            </w:pPr>
            <w:r>
              <w:rPr>
                <w:lang w:eastAsia="en-US"/>
              </w:rPr>
              <w:t>Analisi PIAO.</w:t>
            </w:r>
          </w:p>
        </w:tc>
      </w:tr>
      <w:tr w:rsidR="00562B5B" w:rsidTr="00562B5B">
        <w:trPr>
          <w:trHeight w:val="385"/>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spacing w:line="268" w:lineRule="exact"/>
              <w:ind w:left="0"/>
              <w:jc w:val="center"/>
              <w:rPr>
                <w:lang w:eastAsia="en-US"/>
              </w:rPr>
            </w:pPr>
            <w:r>
              <w:rPr>
                <w:lang w:eastAsia="en-US"/>
              </w:rPr>
              <w:t>31/05/2022</w:t>
            </w:r>
          </w:p>
        </w:tc>
        <w:tc>
          <w:tcPr>
            <w:tcW w:w="8116" w:type="dxa"/>
            <w:tcBorders>
              <w:top w:val="nil"/>
              <w:left w:val="nil"/>
              <w:bottom w:val="single" w:sz="8" w:space="0" w:color="000000"/>
              <w:right w:val="single" w:sz="8" w:space="0" w:color="000000"/>
            </w:tcBorders>
            <w:hideMark/>
          </w:tcPr>
          <w:p w:rsidR="00562B5B" w:rsidRDefault="00562B5B">
            <w:pPr>
              <w:pStyle w:val="TableParagraph"/>
              <w:spacing w:line="268" w:lineRule="exact"/>
              <w:ind w:left="0"/>
              <w:rPr>
                <w:lang w:eastAsia="en-US"/>
              </w:rPr>
            </w:pPr>
            <w:r>
              <w:rPr>
                <w:lang w:eastAsia="en-US"/>
              </w:rPr>
              <w:t xml:space="preserve">Analisi obblighi di trasparenza, ai sensi della delibera </w:t>
            </w:r>
            <w:proofErr w:type="spellStart"/>
            <w:r>
              <w:rPr>
                <w:lang w:eastAsia="en-US"/>
              </w:rPr>
              <w:t>Anac</w:t>
            </w:r>
            <w:proofErr w:type="spellEnd"/>
            <w:r>
              <w:rPr>
                <w:lang w:eastAsia="en-US"/>
              </w:rPr>
              <w:t xml:space="preserve"> n. 201/2022;</w:t>
            </w:r>
          </w:p>
          <w:p w:rsidR="00562B5B" w:rsidRDefault="00562B5B">
            <w:pPr>
              <w:pStyle w:val="TableParagraph"/>
              <w:spacing w:line="268" w:lineRule="exact"/>
              <w:ind w:left="0"/>
              <w:rPr>
                <w:lang w:eastAsia="en-US"/>
              </w:rPr>
            </w:pPr>
            <w:r>
              <w:rPr>
                <w:lang w:eastAsia="en-US"/>
              </w:rPr>
              <w:t>Controdeduzioni schede valutazione individuale e schede di budget 2021 – audizioni;</w:t>
            </w:r>
          </w:p>
          <w:p w:rsidR="00562B5B" w:rsidRDefault="00562B5B">
            <w:pPr>
              <w:pStyle w:val="TableParagraph"/>
              <w:spacing w:line="268" w:lineRule="exact"/>
              <w:ind w:left="0"/>
              <w:rPr>
                <w:lang w:eastAsia="en-US"/>
              </w:rPr>
            </w:pPr>
            <w:r>
              <w:rPr>
                <w:lang w:eastAsia="en-US"/>
              </w:rPr>
              <w:t>Verifica incarico funzione organizzativa.</w:t>
            </w:r>
          </w:p>
        </w:tc>
      </w:tr>
      <w:tr w:rsidR="00562B5B" w:rsidTr="00562B5B">
        <w:trPr>
          <w:trHeight w:val="271"/>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spacing w:before="2" w:line="249" w:lineRule="exact"/>
              <w:jc w:val="center"/>
              <w:rPr>
                <w:lang w:val="en-US" w:eastAsia="en-US"/>
              </w:rPr>
            </w:pPr>
            <w:r>
              <w:rPr>
                <w:lang w:eastAsia="en-US"/>
              </w:rPr>
              <w:t>09/06/2022</w:t>
            </w:r>
          </w:p>
        </w:tc>
        <w:tc>
          <w:tcPr>
            <w:tcW w:w="8116" w:type="dxa"/>
            <w:tcBorders>
              <w:top w:val="nil"/>
              <w:left w:val="nil"/>
              <w:bottom w:val="single" w:sz="8" w:space="0" w:color="000000"/>
              <w:right w:val="single" w:sz="8" w:space="0" w:color="000000"/>
            </w:tcBorders>
            <w:hideMark/>
          </w:tcPr>
          <w:p w:rsidR="00562B5B" w:rsidRDefault="00562B5B">
            <w:pPr>
              <w:pStyle w:val="TableParagraph"/>
              <w:spacing w:before="1" w:line="249" w:lineRule="exact"/>
              <w:ind w:left="0"/>
              <w:rPr>
                <w:lang w:eastAsia="en-US"/>
              </w:rPr>
            </w:pPr>
            <w:r>
              <w:rPr>
                <w:lang w:eastAsia="en-US"/>
              </w:rPr>
              <w:t xml:space="preserve">Conclusione analisi obblighi trasparenza, ai sensi della delibera </w:t>
            </w:r>
            <w:proofErr w:type="spellStart"/>
            <w:r>
              <w:rPr>
                <w:lang w:eastAsia="en-US"/>
              </w:rPr>
              <w:t>Anac</w:t>
            </w:r>
            <w:proofErr w:type="spellEnd"/>
            <w:r>
              <w:rPr>
                <w:lang w:eastAsia="en-US"/>
              </w:rPr>
              <w:t xml:space="preserve"> n. 201/2022.</w:t>
            </w:r>
          </w:p>
        </w:tc>
      </w:tr>
      <w:tr w:rsidR="00562B5B" w:rsidTr="00562B5B">
        <w:trPr>
          <w:trHeight w:val="326"/>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spacing w:line="268" w:lineRule="exact"/>
              <w:jc w:val="center"/>
              <w:rPr>
                <w:lang w:eastAsia="en-US"/>
              </w:rPr>
            </w:pPr>
            <w:r>
              <w:rPr>
                <w:lang w:eastAsia="en-US"/>
              </w:rPr>
              <w:t>25/07/2022</w:t>
            </w:r>
          </w:p>
        </w:tc>
        <w:tc>
          <w:tcPr>
            <w:tcW w:w="8116" w:type="dxa"/>
            <w:tcBorders>
              <w:top w:val="nil"/>
              <w:left w:val="nil"/>
              <w:bottom w:val="single" w:sz="8" w:space="0" w:color="000000"/>
              <w:right w:val="single" w:sz="8" w:space="0" w:color="000000"/>
            </w:tcBorders>
            <w:hideMark/>
          </w:tcPr>
          <w:p w:rsidR="00562B5B" w:rsidRDefault="00562B5B">
            <w:pPr>
              <w:pStyle w:val="TableParagraph"/>
              <w:spacing w:before="1" w:line="249" w:lineRule="exact"/>
              <w:ind w:left="0"/>
              <w:rPr>
                <w:lang w:eastAsia="en-US"/>
              </w:rPr>
            </w:pPr>
            <w:r>
              <w:rPr>
                <w:lang w:eastAsia="en-US"/>
              </w:rPr>
              <w:t>Monitoraggio percorso di budget 2022.</w:t>
            </w:r>
          </w:p>
        </w:tc>
      </w:tr>
      <w:tr w:rsidR="00562B5B" w:rsidTr="00562B5B">
        <w:trPr>
          <w:trHeight w:val="268"/>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jc w:val="center"/>
              <w:rPr>
                <w:lang w:val="en-US" w:eastAsia="en-US"/>
              </w:rPr>
            </w:pPr>
            <w:r>
              <w:rPr>
                <w:lang w:val="en-US" w:eastAsia="en-US"/>
              </w:rPr>
              <w:t>19/09/2022</w:t>
            </w:r>
          </w:p>
        </w:tc>
        <w:tc>
          <w:tcPr>
            <w:tcW w:w="8116" w:type="dxa"/>
            <w:tcBorders>
              <w:top w:val="nil"/>
              <w:left w:val="nil"/>
              <w:bottom w:val="single" w:sz="8" w:space="0" w:color="000000"/>
              <w:right w:val="single" w:sz="8" w:space="0" w:color="000000"/>
            </w:tcBorders>
            <w:hideMark/>
          </w:tcPr>
          <w:p w:rsidR="00562B5B" w:rsidRDefault="00562B5B">
            <w:pPr>
              <w:pStyle w:val="TableParagraph"/>
              <w:spacing w:before="1" w:line="249" w:lineRule="exact"/>
              <w:ind w:left="0"/>
              <w:rPr>
                <w:lang w:eastAsia="en-US"/>
              </w:rPr>
            </w:pPr>
            <w:r>
              <w:rPr>
                <w:lang w:eastAsia="en-US"/>
              </w:rPr>
              <w:t>Controdeduzioni schede valutazione individuale e schede di budget 2021 – audizioni;</w:t>
            </w:r>
          </w:p>
          <w:p w:rsidR="00562B5B" w:rsidRDefault="00562B5B">
            <w:pPr>
              <w:autoSpaceDE w:val="0"/>
              <w:autoSpaceDN w:val="0"/>
            </w:pPr>
            <w:r>
              <w:t xml:space="preserve">RAR 2022; </w:t>
            </w:r>
          </w:p>
          <w:p w:rsidR="00562B5B" w:rsidRDefault="00562B5B">
            <w:pPr>
              <w:autoSpaceDE w:val="0"/>
              <w:autoSpaceDN w:val="0"/>
            </w:pPr>
            <w:r>
              <w:t>Sistema premiante 2020 – 2021 dei c.d. Piramidati.</w:t>
            </w:r>
          </w:p>
        </w:tc>
      </w:tr>
      <w:tr w:rsidR="00562B5B" w:rsidTr="00562B5B">
        <w:trPr>
          <w:trHeight w:val="330"/>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spacing w:line="268" w:lineRule="exact"/>
              <w:jc w:val="center"/>
              <w:rPr>
                <w:lang w:val="en-US" w:eastAsia="en-US"/>
              </w:rPr>
            </w:pPr>
            <w:r>
              <w:rPr>
                <w:lang w:eastAsia="en-US"/>
              </w:rPr>
              <w:t>10/10/2022</w:t>
            </w:r>
          </w:p>
        </w:tc>
        <w:tc>
          <w:tcPr>
            <w:tcW w:w="8116" w:type="dxa"/>
            <w:tcBorders>
              <w:top w:val="nil"/>
              <w:left w:val="nil"/>
              <w:bottom w:val="single" w:sz="8" w:space="0" w:color="000000"/>
              <w:right w:val="single" w:sz="8" w:space="0" w:color="000000"/>
            </w:tcBorders>
            <w:hideMark/>
          </w:tcPr>
          <w:p w:rsidR="00562B5B" w:rsidRPr="00746F21" w:rsidRDefault="00562B5B">
            <w:pPr>
              <w:pStyle w:val="TableParagraph"/>
              <w:spacing w:before="1" w:line="249" w:lineRule="exact"/>
              <w:ind w:left="0"/>
              <w:rPr>
                <w:lang w:eastAsia="en-US"/>
              </w:rPr>
            </w:pPr>
            <w:r w:rsidRPr="00746F21">
              <w:rPr>
                <w:lang w:eastAsia="en-US"/>
              </w:rPr>
              <w:t>Controdeduzioni schede valutazione individuale e schede di budget 2021 - conclusione;</w:t>
            </w:r>
          </w:p>
          <w:p w:rsidR="00562B5B" w:rsidRPr="00746F21" w:rsidRDefault="00562B5B">
            <w:pPr>
              <w:pStyle w:val="TableParagraph"/>
              <w:spacing w:before="1" w:line="249" w:lineRule="exact"/>
              <w:ind w:left="0"/>
              <w:rPr>
                <w:lang w:eastAsia="en-US"/>
              </w:rPr>
            </w:pPr>
            <w:r w:rsidRPr="00746F21">
              <w:rPr>
                <w:lang w:eastAsia="en-US"/>
              </w:rPr>
              <w:t>Stato di avanzamento RAR 2022;</w:t>
            </w:r>
          </w:p>
          <w:p w:rsidR="00562B5B" w:rsidRPr="00746F21" w:rsidRDefault="00562B5B">
            <w:pPr>
              <w:pStyle w:val="TableParagraph"/>
              <w:spacing w:before="1" w:line="249" w:lineRule="exact"/>
              <w:ind w:left="0"/>
              <w:rPr>
                <w:lang w:eastAsia="en-US"/>
              </w:rPr>
            </w:pPr>
            <w:r w:rsidRPr="00746F21">
              <w:rPr>
                <w:lang w:eastAsia="en-US"/>
              </w:rPr>
              <w:t>Progetti direzionali 2021.</w:t>
            </w:r>
          </w:p>
        </w:tc>
      </w:tr>
      <w:tr w:rsidR="00562B5B" w:rsidTr="00562B5B">
        <w:trPr>
          <w:trHeight w:val="268"/>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jc w:val="center"/>
              <w:rPr>
                <w:lang w:eastAsia="en-US"/>
              </w:rPr>
            </w:pPr>
            <w:r>
              <w:rPr>
                <w:lang w:eastAsia="en-US"/>
              </w:rPr>
              <w:t>21/11/2022</w:t>
            </w:r>
          </w:p>
        </w:tc>
        <w:tc>
          <w:tcPr>
            <w:tcW w:w="8116" w:type="dxa"/>
            <w:tcBorders>
              <w:top w:val="nil"/>
              <w:left w:val="nil"/>
              <w:bottom w:val="single" w:sz="8" w:space="0" w:color="000000"/>
              <w:right w:val="single" w:sz="8" w:space="0" w:color="000000"/>
            </w:tcBorders>
            <w:hideMark/>
          </w:tcPr>
          <w:p w:rsidR="00562B5B" w:rsidRPr="00746F21" w:rsidRDefault="00746F21">
            <w:pPr>
              <w:pStyle w:val="TableParagraph"/>
              <w:ind w:left="0"/>
              <w:rPr>
                <w:lang w:eastAsia="en-US"/>
              </w:rPr>
            </w:pPr>
            <w:r w:rsidRPr="00746F21">
              <w:rPr>
                <w:lang w:eastAsia="en-US"/>
              </w:rPr>
              <w:t>Monitoraggio s</w:t>
            </w:r>
            <w:r w:rsidR="00562B5B" w:rsidRPr="00746F21">
              <w:rPr>
                <w:lang w:eastAsia="en-US"/>
              </w:rPr>
              <w:t>tato avanzamento lavori Sistema Premiante 2022;</w:t>
            </w:r>
          </w:p>
          <w:p w:rsidR="00562B5B" w:rsidRPr="00746F21" w:rsidRDefault="00562B5B">
            <w:pPr>
              <w:pStyle w:val="TableParagraph"/>
              <w:ind w:left="0"/>
              <w:rPr>
                <w:lang w:eastAsia="en-US"/>
              </w:rPr>
            </w:pPr>
            <w:r w:rsidRPr="00746F21">
              <w:rPr>
                <w:lang w:eastAsia="en-US"/>
              </w:rPr>
              <w:t>Controdeduzioni schede valutazione individuale e schede di budget 2021 – prima analisi.</w:t>
            </w:r>
          </w:p>
        </w:tc>
      </w:tr>
      <w:tr w:rsidR="00562B5B" w:rsidTr="00562B5B">
        <w:trPr>
          <w:trHeight w:val="279"/>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spacing w:line="268" w:lineRule="exact"/>
              <w:jc w:val="center"/>
              <w:rPr>
                <w:lang w:eastAsia="en-US"/>
              </w:rPr>
            </w:pPr>
            <w:r>
              <w:rPr>
                <w:lang w:eastAsia="en-US"/>
              </w:rPr>
              <w:t>15/12/2022</w:t>
            </w:r>
          </w:p>
        </w:tc>
        <w:tc>
          <w:tcPr>
            <w:tcW w:w="8116" w:type="dxa"/>
            <w:tcBorders>
              <w:top w:val="nil"/>
              <w:left w:val="nil"/>
              <w:bottom w:val="single" w:sz="8" w:space="0" w:color="000000"/>
              <w:right w:val="single" w:sz="8" w:space="0" w:color="000000"/>
            </w:tcBorders>
            <w:hideMark/>
          </w:tcPr>
          <w:p w:rsidR="00562B5B" w:rsidRDefault="00562B5B">
            <w:pPr>
              <w:pStyle w:val="TableParagraph"/>
              <w:spacing w:before="1" w:line="249" w:lineRule="exact"/>
              <w:ind w:left="0"/>
              <w:rPr>
                <w:lang w:eastAsia="en-US"/>
              </w:rPr>
            </w:pPr>
            <w:r>
              <w:rPr>
                <w:lang w:eastAsia="en-US"/>
              </w:rPr>
              <w:t>Controdeduzioni schede valutazione individuale e schede di budget 2021 – audizioni.</w:t>
            </w:r>
          </w:p>
        </w:tc>
      </w:tr>
      <w:tr w:rsidR="00562B5B" w:rsidTr="00562B5B">
        <w:trPr>
          <w:trHeight w:val="558"/>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spacing w:line="268" w:lineRule="exact"/>
              <w:jc w:val="center"/>
              <w:rPr>
                <w:lang w:eastAsia="en-US"/>
              </w:rPr>
            </w:pPr>
            <w:r>
              <w:rPr>
                <w:lang w:eastAsia="en-US"/>
              </w:rPr>
              <w:t>23/01/2023</w:t>
            </w:r>
          </w:p>
        </w:tc>
        <w:tc>
          <w:tcPr>
            <w:tcW w:w="8116" w:type="dxa"/>
            <w:tcBorders>
              <w:top w:val="nil"/>
              <w:left w:val="nil"/>
              <w:bottom w:val="single" w:sz="8" w:space="0" w:color="000000"/>
              <w:right w:val="single" w:sz="8" w:space="0" w:color="000000"/>
            </w:tcBorders>
            <w:hideMark/>
          </w:tcPr>
          <w:p w:rsidR="00562B5B" w:rsidRDefault="00562B5B">
            <w:pPr>
              <w:pStyle w:val="TableParagraph"/>
              <w:ind w:left="0"/>
              <w:rPr>
                <w:lang w:eastAsia="en-US"/>
              </w:rPr>
            </w:pPr>
            <w:r>
              <w:rPr>
                <w:lang w:eastAsia="en-US"/>
              </w:rPr>
              <w:t>Controdeduzioni schede valutazione individuale e alle schede di budget 2021 – conclusione;</w:t>
            </w:r>
          </w:p>
          <w:p w:rsidR="00562B5B" w:rsidRDefault="00562B5B">
            <w:pPr>
              <w:pStyle w:val="TableParagraph"/>
              <w:ind w:left="0"/>
              <w:rPr>
                <w:lang w:eastAsia="en-US"/>
              </w:rPr>
            </w:pPr>
            <w:r>
              <w:rPr>
                <w:lang w:eastAsia="en-US"/>
              </w:rPr>
              <w:t>Analisi PIAO.</w:t>
            </w:r>
          </w:p>
        </w:tc>
      </w:tr>
      <w:tr w:rsidR="00562B5B" w:rsidTr="00562B5B">
        <w:trPr>
          <w:trHeight w:val="270"/>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spacing w:before="1" w:line="249" w:lineRule="exact"/>
              <w:jc w:val="center"/>
              <w:rPr>
                <w:lang w:eastAsia="en-US"/>
              </w:rPr>
            </w:pPr>
            <w:r>
              <w:rPr>
                <w:lang w:eastAsia="en-US"/>
              </w:rPr>
              <w:t>28/02/2023</w:t>
            </w:r>
          </w:p>
        </w:tc>
        <w:tc>
          <w:tcPr>
            <w:tcW w:w="8116" w:type="dxa"/>
            <w:tcBorders>
              <w:top w:val="nil"/>
              <w:left w:val="nil"/>
              <w:bottom w:val="single" w:sz="8" w:space="0" w:color="000000"/>
              <w:right w:val="single" w:sz="8" w:space="0" w:color="000000"/>
            </w:tcBorders>
            <w:hideMark/>
          </w:tcPr>
          <w:p w:rsidR="00562B5B" w:rsidRDefault="00562B5B">
            <w:pPr>
              <w:pStyle w:val="TableParagraph"/>
              <w:spacing w:before="1" w:line="249" w:lineRule="exact"/>
              <w:ind w:left="0"/>
              <w:rPr>
                <w:lang w:eastAsia="en-US"/>
              </w:rPr>
            </w:pPr>
            <w:r>
              <w:rPr>
                <w:lang w:eastAsia="en-US"/>
              </w:rPr>
              <w:t>Revisione ultima bozza PIAO.</w:t>
            </w:r>
          </w:p>
        </w:tc>
      </w:tr>
      <w:tr w:rsidR="00562B5B" w:rsidTr="00562B5B">
        <w:trPr>
          <w:trHeight w:val="270"/>
        </w:trPr>
        <w:tc>
          <w:tcPr>
            <w:tcW w:w="1489" w:type="dxa"/>
            <w:tcBorders>
              <w:top w:val="nil"/>
              <w:left w:val="single" w:sz="8" w:space="0" w:color="000000"/>
              <w:bottom w:val="single" w:sz="8" w:space="0" w:color="000000"/>
              <w:right w:val="single" w:sz="8" w:space="0" w:color="000000"/>
            </w:tcBorders>
            <w:hideMark/>
          </w:tcPr>
          <w:p w:rsidR="00562B5B" w:rsidRDefault="00562B5B">
            <w:pPr>
              <w:pStyle w:val="TableParagraph"/>
              <w:spacing w:before="1" w:line="249" w:lineRule="exact"/>
              <w:jc w:val="center"/>
              <w:rPr>
                <w:lang w:eastAsia="en-US"/>
              </w:rPr>
            </w:pPr>
            <w:r>
              <w:rPr>
                <w:lang w:eastAsia="en-US"/>
              </w:rPr>
              <w:t>13/03/2023</w:t>
            </w:r>
          </w:p>
        </w:tc>
        <w:tc>
          <w:tcPr>
            <w:tcW w:w="8116" w:type="dxa"/>
            <w:tcBorders>
              <w:top w:val="nil"/>
              <w:left w:val="nil"/>
              <w:bottom w:val="single" w:sz="8" w:space="0" w:color="000000"/>
              <w:right w:val="single" w:sz="8" w:space="0" w:color="000000"/>
            </w:tcBorders>
            <w:hideMark/>
          </w:tcPr>
          <w:p w:rsidR="00562B5B" w:rsidRDefault="00562B5B">
            <w:pPr>
              <w:pStyle w:val="TableParagraph"/>
              <w:spacing w:before="1" w:line="249" w:lineRule="exact"/>
              <w:ind w:left="0"/>
              <w:rPr>
                <w:highlight w:val="yellow"/>
                <w:lang w:eastAsia="en-US"/>
              </w:rPr>
            </w:pPr>
            <w:r>
              <w:rPr>
                <w:lang w:eastAsia="en-US"/>
              </w:rPr>
              <w:t>RAR 2022 Regione Lombardia.</w:t>
            </w:r>
          </w:p>
        </w:tc>
      </w:tr>
    </w:tbl>
    <w:p w:rsidR="004F2208" w:rsidRDefault="004F2208" w:rsidP="00111A0A">
      <w:pPr>
        <w:pStyle w:val="Default"/>
        <w:ind w:left="360"/>
        <w:jc w:val="both"/>
        <w:rPr>
          <w:rFonts w:ascii="Calibri" w:hAnsi="Calibri"/>
          <w:sz w:val="22"/>
          <w:szCs w:val="22"/>
        </w:rPr>
      </w:pPr>
    </w:p>
    <w:p w:rsidR="0027325B" w:rsidRDefault="00551055" w:rsidP="00961483">
      <w:pPr>
        <w:pStyle w:val="Titolo1"/>
        <w:numPr>
          <w:ilvl w:val="0"/>
          <w:numId w:val="1"/>
        </w:numPr>
        <w:tabs>
          <w:tab w:val="num" w:pos="432"/>
          <w:tab w:val="num" w:pos="540"/>
        </w:tabs>
        <w:ind w:left="0" w:firstLine="0"/>
        <w:jc w:val="left"/>
        <w:rPr>
          <w:rFonts w:asciiTheme="minorHAnsi" w:hAnsiTheme="minorHAnsi"/>
          <w:sz w:val="24"/>
          <w:szCs w:val="24"/>
        </w:rPr>
      </w:pPr>
      <w:bookmarkStart w:id="12" w:name="_Toc70581327"/>
      <w:r w:rsidRPr="0027325B">
        <w:rPr>
          <w:rFonts w:asciiTheme="minorHAnsi" w:hAnsiTheme="minorHAnsi"/>
          <w:sz w:val="24"/>
          <w:szCs w:val="24"/>
        </w:rPr>
        <w:lastRenderedPageBreak/>
        <w:t>Pari opportunità</w:t>
      </w:r>
      <w:bookmarkStart w:id="13" w:name="_Toc70581328"/>
      <w:bookmarkEnd w:id="12"/>
    </w:p>
    <w:p w:rsidR="0027325B" w:rsidRPr="0027325B" w:rsidRDefault="0027325B" w:rsidP="0027325B"/>
    <w:p w:rsidR="0027325B" w:rsidRPr="0027325B" w:rsidRDefault="0027325B" w:rsidP="00C31AB1">
      <w:pPr>
        <w:jc w:val="both"/>
        <w:rPr>
          <w:rFonts w:ascii="Calibri" w:hAnsi="Calibri" w:cs="Bookman Old Style"/>
          <w:color w:val="000000"/>
        </w:rPr>
      </w:pPr>
      <w:r w:rsidRPr="0027325B">
        <w:rPr>
          <w:rFonts w:ascii="Calibri" w:hAnsi="Calibri" w:cs="Bookman Old Style"/>
          <w:color w:val="000000"/>
        </w:rPr>
        <w:t xml:space="preserve">L’OIV ha verificato i risultati e le buone pratiche di promozione delle pari opportunità ai sensi dell’art. 14, lettera h), del d.lgs. 150/2009 e </w:t>
      </w:r>
      <w:proofErr w:type="spellStart"/>
      <w:r w:rsidRPr="0027325B">
        <w:rPr>
          <w:rFonts w:ascii="Calibri" w:hAnsi="Calibri" w:cs="Bookman Old Style"/>
          <w:color w:val="000000"/>
        </w:rPr>
        <w:t>s.m.i.</w:t>
      </w:r>
      <w:proofErr w:type="spellEnd"/>
      <w:r w:rsidR="00457806">
        <w:rPr>
          <w:rFonts w:ascii="Calibri" w:hAnsi="Calibri" w:cs="Bookman Old Style"/>
          <w:color w:val="000000"/>
        </w:rPr>
        <w:t xml:space="preserve"> </w:t>
      </w:r>
      <w:r w:rsidRPr="0027325B">
        <w:rPr>
          <w:rFonts w:ascii="Calibri" w:hAnsi="Calibri" w:cs="Bookman Old Style"/>
          <w:color w:val="000000"/>
        </w:rPr>
        <w:t xml:space="preserve">Nell’anno 2022  il Comitato Unico di Garanzia (CUG) si è riunito 4 volte, per parlare del Gender </w:t>
      </w:r>
      <w:proofErr w:type="spellStart"/>
      <w:r w:rsidRPr="0027325B">
        <w:rPr>
          <w:rFonts w:ascii="Calibri" w:hAnsi="Calibri" w:cs="Bookman Old Style"/>
          <w:color w:val="000000"/>
        </w:rPr>
        <w:t>Equality</w:t>
      </w:r>
      <w:proofErr w:type="spellEnd"/>
      <w:r w:rsidRPr="0027325B">
        <w:rPr>
          <w:rFonts w:ascii="Calibri" w:hAnsi="Calibri" w:cs="Bookman Old Style"/>
          <w:color w:val="000000"/>
        </w:rPr>
        <w:t xml:space="preserve"> Plan, il quale è stato adottato in data 08.03.2022 con </w:t>
      </w:r>
      <w:proofErr w:type="spellStart"/>
      <w:r w:rsidRPr="0027325B">
        <w:rPr>
          <w:rFonts w:ascii="Calibri" w:hAnsi="Calibri" w:cs="Bookman Old Style"/>
          <w:color w:val="000000"/>
        </w:rPr>
        <w:t>Dgen</w:t>
      </w:r>
      <w:proofErr w:type="spellEnd"/>
      <w:r w:rsidRPr="0027325B">
        <w:rPr>
          <w:rFonts w:ascii="Calibri" w:hAnsi="Calibri" w:cs="Bookman Old Style"/>
          <w:color w:val="000000"/>
        </w:rPr>
        <w:t xml:space="preserve"> n. 103, https://www.inrca.it/inrca/files/Pretorio/Allegato%20BILANCIO%20DI%20GENERE%20INRCA.pdf, inteso come Piano strategico per la parità di genere dell’Istituto che comprenda misure concrete finalizzate a promuovere la cultura dell’inclusione nel profondo rispetto delle diversità e nel costante contrasto a ogni forma di discriminazione determinata da età, genere, origine etnica, orientamento sessuale, religione, posizione politica, condizioni di disabilità, attraverso azioni e strumenti capaci di valorizzare le differenze.</w:t>
      </w:r>
    </w:p>
    <w:p w:rsidR="0027325B" w:rsidRPr="0027325B" w:rsidRDefault="0027325B" w:rsidP="00C31AB1">
      <w:pPr>
        <w:jc w:val="both"/>
        <w:rPr>
          <w:rFonts w:ascii="Calibri" w:hAnsi="Calibri" w:cs="Bookman Old Style"/>
          <w:color w:val="000000"/>
        </w:rPr>
      </w:pPr>
      <w:r w:rsidRPr="0027325B">
        <w:rPr>
          <w:rFonts w:ascii="Calibri" w:hAnsi="Calibri" w:cs="Bookman Old Style"/>
          <w:color w:val="000000"/>
        </w:rPr>
        <w:t>Tale GEP comprende ed è in perfetta armonia con le finalità e le azioni del Comitato Unico di Garanzia, la cui mission è quella di creare un ambiente di lavoro positivo, quale elemento imprescindibile per ottenere un maggior apporto dei lavoratori e delle lavoratrici, sia in termini di produttività che di appartenenza.</w:t>
      </w:r>
    </w:p>
    <w:p w:rsidR="0027325B" w:rsidRPr="0027325B" w:rsidRDefault="0027325B" w:rsidP="00C31AB1">
      <w:pPr>
        <w:jc w:val="both"/>
        <w:rPr>
          <w:rFonts w:ascii="Calibri" w:hAnsi="Calibri" w:cs="Bookman Old Style"/>
          <w:color w:val="000000"/>
        </w:rPr>
      </w:pPr>
      <w:r w:rsidRPr="0027325B">
        <w:rPr>
          <w:rFonts w:ascii="Calibri" w:hAnsi="Calibri" w:cs="Bookman Old Style"/>
          <w:color w:val="000000"/>
        </w:rPr>
        <w:t xml:space="preserve">Il CUG INRCA sta già da alcuni anni affrontando tematiche di diversità ed inclusione attraverso varie iniziative istituzionali, prevedendo anche rapporti e collaborazioni con stakeholder esterni all’Istituto, quale ad esempio la collaborazione con la Consigliera di Parità della Provincia di Ancona. Tutto ciò al fine di promuovere l’affermazione di una cultura orientata alle pari opportunità, alla conciliazione dei tempi di vita e di lavoro, alla condivisione delle responsabilità familiari tra i sessi. Quindi un ambiente improntato al benessere, al supporto a situazioni di stress o </w:t>
      </w:r>
      <w:proofErr w:type="spellStart"/>
      <w:r w:rsidRPr="0027325B">
        <w:rPr>
          <w:rFonts w:ascii="Calibri" w:hAnsi="Calibri" w:cs="Bookman Old Style"/>
          <w:color w:val="000000"/>
        </w:rPr>
        <w:t>burn</w:t>
      </w:r>
      <w:proofErr w:type="spellEnd"/>
      <w:r w:rsidRPr="0027325B">
        <w:rPr>
          <w:rFonts w:ascii="Calibri" w:hAnsi="Calibri" w:cs="Bookman Old Style"/>
          <w:color w:val="000000"/>
        </w:rPr>
        <w:t xml:space="preserve"> out e capace di prevenire, rilevare e contrastare ogni forma di violenza sessuale, morale e psichica. Nell’anno 2022 il Comitato si è riunito anche per parlare del Gender </w:t>
      </w:r>
      <w:proofErr w:type="spellStart"/>
      <w:r w:rsidRPr="0027325B">
        <w:rPr>
          <w:rFonts w:ascii="Calibri" w:hAnsi="Calibri" w:cs="Bookman Old Style"/>
          <w:color w:val="000000"/>
        </w:rPr>
        <w:t>Equality</w:t>
      </w:r>
      <w:proofErr w:type="spellEnd"/>
      <w:r w:rsidRPr="0027325B">
        <w:rPr>
          <w:rFonts w:ascii="Calibri" w:hAnsi="Calibri" w:cs="Bookman Old Style"/>
          <w:color w:val="000000"/>
        </w:rPr>
        <w:t xml:space="preserve"> Plan, definire l’indagine relativa allo </w:t>
      </w:r>
      <w:proofErr w:type="spellStart"/>
      <w:r w:rsidRPr="0027325B">
        <w:rPr>
          <w:rFonts w:ascii="Calibri" w:hAnsi="Calibri" w:cs="Bookman Old Style"/>
          <w:color w:val="000000"/>
        </w:rPr>
        <w:t>smart</w:t>
      </w:r>
      <w:proofErr w:type="spellEnd"/>
      <w:r w:rsidRPr="0027325B">
        <w:rPr>
          <w:rFonts w:ascii="Calibri" w:hAnsi="Calibri" w:cs="Bookman Old Style"/>
          <w:color w:val="000000"/>
        </w:rPr>
        <w:t xml:space="preserve"> </w:t>
      </w:r>
      <w:proofErr w:type="spellStart"/>
      <w:r w:rsidRPr="0027325B">
        <w:rPr>
          <w:rFonts w:ascii="Calibri" w:hAnsi="Calibri" w:cs="Bookman Old Style"/>
          <w:color w:val="000000"/>
        </w:rPr>
        <w:t>working</w:t>
      </w:r>
      <w:proofErr w:type="spellEnd"/>
      <w:r w:rsidRPr="0027325B">
        <w:rPr>
          <w:rFonts w:ascii="Calibri" w:hAnsi="Calibri" w:cs="Bookman Old Style"/>
          <w:color w:val="000000"/>
        </w:rPr>
        <w:t xml:space="preserve">/conciliazione tra tempi di lavoro e tempi di vita. Pertanto, in merito a ciò, il CUG ha messo a punto un questionario rivolto a tutto il personale, a tutte le professionalità, sia a coloro che hanno già utilizzato lo </w:t>
      </w:r>
      <w:proofErr w:type="spellStart"/>
      <w:r w:rsidRPr="0027325B">
        <w:rPr>
          <w:rFonts w:ascii="Calibri" w:hAnsi="Calibri" w:cs="Bookman Old Style"/>
          <w:color w:val="000000"/>
        </w:rPr>
        <w:t>smart</w:t>
      </w:r>
      <w:proofErr w:type="spellEnd"/>
      <w:r w:rsidRPr="0027325B">
        <w:rPr>
          <w:rFonts w:ascii="Calibri" w:hAnsi="Calibri" w:cs="Bookman Old Style"/>
          <w:color w:val="000000"/>
        </w:rPr>
        <w:t xml:space="preserve"> </w:t>
      </w:r>
      <w:proofErr w:type="spellStart"/>
      <w:r w:rsidRPr="0027325B">
        <w:rPr>
          <w:rFonts w:ascii="Calibri" w:hAnsi="Calibri" w:cs="Bookman Old Style"/>
          <w:color w:val="000000"/>
        </w:rPr>
        <w:t>working</w:t>
      </w:r>
      <w:proofErr w:type="spellEnd"/>
      <w:r w:rsidRPr="0027325B">
        <w:rPr>
          <w:rFonts w:ascii="Calibri" w:hAnsi="Calibri" w:cs="Bookman Old Style"/>
          <w:color w:val="000000"/>
        </w:rPr>
        <w:t xml:space="preserve"> che a chi non ne ha mai usufruito con l’intento di contribuire a definire politiche orientative e realizzare percorsi che tengano conto di tali problematiche. L’indagine è stata proposta ai 1207 dipendenti dell’IRCCS INRCA delle varie sedi: Ancona, Casatenovo, Cosenza, Fermo, Osimo, Treia- Appignano, nel periodo compreso tra il 13 luglio ed il 13 settembre 2022. L’indagine quindi intendeva sondare la percezione dell’importanza dello </w:t>
      </w:r>
      <w:proofErr w:type="spellStart"/>
      <w:r w:rsidRPr="0027325B">
        <w:rPr>
          <w:rFonts w:ascii="Calibri" w:hAnsi="Calibri" w:cs="Bookman Old Style"/>
          <w:color w:val="000000"/>
        </w:rPr>
        <w:t>smart</w:t>
      </w:r>
      <w:proofErr w:type="spellEnd"/>
      <w:r w:rsidRPr="0027325B">
        <w:rPr>
          <w:rFonts w:ascii="Calibri" w:hAnsi="Calibri" w:cs="Bookman Old Style"/>
          <w:color w:val="000000"/>
        </w:rPr>
        <w:t xml:space="preserve"> </w:t>
      </w:r>
      <w:proofErr w:type="spellStart"/>
      <w:r w:rsidRPr="0027325B">
        <w:rPr>
          <w:rFonts w:ascii="Calibri" w:hAnsi="Calibri" w:cs="Bookman Old Style"/>
          <w:color w:val="000000"/>
        </w:rPr>
        <w:t>working</w:t>
      </w:r>
      <w:proofErr w:type="spellEnd"/>
      <w:r w:rsidRPr="0027325B">
        <w:rPr>
          <w:rFonts w:ascii="Calibri" w:hAnsi="Calibri" w:cs="Bookman Old Style"/>
          <w:color w:val="000000"/>
        </w:rPr>
        <w:t xml:space="preserve"> e degli strumenti di conciliazione vita lavorativa/personale all’interno dell’Istituto poiché, mai come oggi, nella gestione delle risorse umane e nelle prassi manageriali delle imprese più attente ai propri dipendenti, emerge forte l’esigenza di cogliere sentimenti e sensazioni delle persone nelle organizzazioni.  Hanno partecipato all’indagine 188 operatori su 1207 pari al 15,6% dei dipendenti dell’azienda. Tutto il personale è stato informato dell’iniziativa ed invitato a partecipare alla compilazione del questionario, in modalità online sulla intranet aziendale.</w:t>
      </w:r>
      <w:r w:rsidR="00C31AB1" w:rsidRPr="00C31AB1">
        <w:rPr>
          <w:rFonts w:ascii="Calibri" w:hAnsi="Calibri" w:cs="Bookman Old Style"/>
          <w:color w:val="000000"/>
        </w:rPr>
        <w:t xml:space="preserve"> </w:t>
      </w:r>
      <w:r w:rsidRPr="0027325B">
        <w:rPr>
          <w:rFonts w:ascii="Calibri" w:hAnsi="Calibri" w:cs="Bookman Old Style"/>
          <w:color w:val="000000"/>
        </w:rPr>
        <w:t xml:space="preserve">La tecnica di somministrazione del questionario tramite piattaforma informatica presentava il vantaggio di ridurre gli errori di rilevazione e di assicurarne la compilazione una sola volta per ciascun dipendente, garantendo sia la riservatezza dei dati acquisiti, sia l’anonimato dei lavoratori. Il report con i risultati dell’indagine è stato realizzato nel mese di dicembre ed inviato alla Direzione Strategica ed all’OIV, Organismo Indipendente di Valutazione aziendale solo in forma aggregata, nel massimo rispetto dell’anonimato del dipendente. I risultati del report sono stati presentati ai dipendenti durante l’appuntamento </w:t>
      </w:r>
      <w:proofErr w:type="spellStart"/>
      <w:r w:rsidRPr="0027325B">
        <w:rPr>
          <w:rFonts w:ascii="Calibri" w:hAnsi="Calibri" w:cs="Bookman Old Style"/>
          <w:color w:val="000000"/>
        </w:rPr>
        <w:t>Inrcatalk</w:t>
      </w:r>
      <w:proofErr w:type="spellEnd"/>
      <w:r w:rsidRPr="0027325B">
        <w:rPr>
          <w:rFonts w:ascii="Calibri" w:hAnsi="Calibri" w:cs="Bookman Old Style"/>
          <w:color w:val="000000"/>
        </w:rPr>
        <w:t xml:space="preserve"> del mese di dicembre 2022. L’</w:t>
      </w:r>
      <w:proofErr w:type="spellStart"/>
      <w:r w:rsidRPr="0027325B">
        <w:rPr>
          <w:rFonts w:ascii="Calibri" w:hAnsi="Calibri" w:cs="Bookman Old Style"/>
          <w:color w:val="000000"/>
        </w:rPr>
        <w:t>inrcatalk</w:t>
      </w:r>
      <w:proofErr w:type="spellEnd"/>
      <w:r w:rsidRPr="0027325B">
        <w:rPr>
          <w:rFonts w:ascii="Calibri" w:hAnsi="Calibri" w:cs="Bookman Old Style"/>
          <w:color w:val="000000"/>
        </w:rPr>
        <w:t xml:space="preserve"> è un incontro mensile aperto a tutti i dipendenti </w:t>
      </w:r>
      <w:proofErr w:type="spellStart"/>
      <w:r w:rsidRPr="0027325B">
        <w:rPr>
          <w:rFonts w:ascii="Calibri" w:hAnsi="Calibri" w:cs="Bookman Old Style"/>
          <w:color w:val="000000"/>
        </w:rPr>
        <w:t>Inrca</w:t>
      </w:r>
      <w:proofErr w:type="spellEnd"/>
      <w:r w:rsidRPr="0027325B">
        <w:rPr>
          <w:rFonts w:ascii="Calibri" w:hAnsi="Calibri" w:cs="Bookman Old Style"/>
          <w:color w:val="000000"/>
        </w:rPr>
        <w:t xml:space="preserve">, sia in presenza che online. In esso vengono trattati di volta in volta gli argomenti più disparati, per far conoscere le varie attività, permettere una circolazione di informazioni e aumentare così il senso di appartenenza. Successivamente, con l’approvazione della Direzione Generale, il report è stato pubblicato sulla sezione intranet, per renderlo disponibile ai dipendenti. Nel dicembre 2022, sulla base del Gender </w:t>
      </w:r>
      <w:proofErr w:type="spellStart"/>
      <w:r w:rsidRPr="0027325B">
        <w:rPr>
          <w:rFonts w:ascii="Calibri" w:hAnsi="Calibri" w:cs="Bookman Old Style"/>
          <w:color w:val="000000"/>
        </w:rPr>
        <w:t>Equality</w:t>
      </w:r>
      <w:proofErr w:type="spellEnd"/>
      <w:r w:rsidRPr="0027325B">
        <w:rPr>
          <w:rFonts w:ascii="Calibri" w:hAnsi="Calibri" w:cs="Bookman Old Style"/>
          <w:color w:val="000000"/>
        </w:rPr>
        <w:t xml:space="preserve"> Plan, il CUG ha predisposto il Piano Triennale Azioni Positive 2023-2025 nell’ambito appunto del PIAO (Piano Integrato di Attività ed Organizzazione). Nel </w:t>
      </w:r>
      <w:proofErr w:type="spellStart"/>
      <w:r w:rsidRPr="0027325B">
        <w:rPr>
          <w:rFonts w:ascii="Calibri" w:hAnsi="Calibri" w:cs="Bookman Old Style"/>
          <w:color w:val="000000"/>
        </w:rPr>
        <w:t>Ptap</w:t>
      </w:r>
      <w:proofErr w:type="spellEnd"/>
      <w:r w:rsidRPr="0027325B">
        <w:rPr>
          <w:rFonts w:ascii="Calibri" w:hAnsi="Calibri" w:cs="Bookman Old Style"/>
          <w:color w:val="000000"/>
        </w:rPr>
        <w:t xml:space="preserve"> ha comunque individuato alcune azioni ulteriori e specifiche per il triennio, ovvero:</w:t>
      </w:r>
    </w:p>
    <w:p w:rsidR="0027325B" w:rsidRPr="00C31AB1" w:rsidRDefault="0027325B" w:rsidP="00C31AB1">
      <w:pPr>
        <w:jc w:val="both"/>
        <w:rPr>
          <w:rFonts w:ascii="Calibri" w:hAnsi="Calibri" w:cs="Bookman Old Style"/>
          <w:color w:val="000000"/>
        </w:rPr>
      </w:pPr>
    </w:p>
    <w:p w:rsidR="0027325B" w:rsidRPr="00C31AB1" w:rsidRDefault="0027325B" w:rsidP="00C31AB1">
      <w:pPr>
        <w:tabs>
          <w:tab w:val="left" w:pos="2370"/>
        </w:tabs>
        <w:jc w:val="both"/>
        <w:rPr>
          <w:rFonts w:ascii="Calibri" w:hAnsi="Calibri" w:cs="Bookman Old Style"/>
          <w:color w:val="000000"/>
        </w:rPr>
      </w:pPr>
      <w:r w:rsidRPr="0027325B">
        <w:rPr>
          <w:rFonts w:ascii="Calibri" w:hAnsi="Calibri" w:cs="Bookman Old Style"/>
          <w:color w:val="000000"/>
        </w:rPr>
        <w:t xml:space="preserve">OBIETTIVO 1- Attivazione nuova indagine sul benessere organizzativo in accordo e collaborazione con la </w:t>
      </w:r>
      <w:proofErr w:type="spellStart"/>
      <w:r w:rsidRPr="0027325B">
        <w:rPr>
          <w:rFonts w:ascii="Calibri" w:hAnsi="Calibri" w:cs="Bookman Old Style"/>
          <w:color w:val="000000"/>
        </w:rPr>
        <w:t>Uosd</w:t>
      </w:r>
      <w:proofErr w:type="spellEnd"/>
      <w:r w:rsidRPr="0027325B">
        <w:rPr>
          <w:rFonts w:ascii="Calibri" w:hAnsi="Calibri" w:cs="Bookman Old Style"/>
          <w:color w:val="000000"/>
        </w:rPr>
        <w:t xml:space="preserve"> “Qualità e sicurezza del paziente Benessere organizzativo ed Accreditamento” - Resa dati alla Direzione Strategica per attivazione azioni correttive e migliorative sulla base del report – Azioni di contrasto allo stress ed al </w:t>
      </w:r>
      <w:proofErr w:type="spellStart"/>
      <w:r w:rsidRPr="0027325B">
        <w:rPr>
          <w:rFonts w:ascii="Calibri" w:hAnsi="Calibri" w:cs="Bookman Old Style"/>
          <w:color w:val="000000"/>
        </w:rPr>
        <w:t>burn</w:t>
      </w:r>
      <w:proofErr w:type="spellEnd"/>
      <w:r w:rsidRPr="0027325B">
        <w:rPr>
          <w:rFonts w:ascii="Calibri" w:hAnsi="Calibri" w:cs="Bookman Old Style"/>
          <w:color w:val="000000"/>
        </w:rPr>
        <w:t xml:space="preserve"> out degli operatori in prima linea e nelle aree d’emergenza tramite attivazione sportello d’ascolto</w:t>
      </w:r>
    </w:p>
    <w:p w:rsidR="0027325B" w:rsidRPr="0027325B" w:rsidRDefault="0027325B" w:rsidP="00C31AB1">
      <w:pPr>
        <w:tabs>
          <w:tab w:val="left" w:pos="2370"/>
        </w:tabs>
        <w:jc w:val="both"/>
        <w:rPr>
          <w:rFonts w:ascii="Calibri" w:hAnsi="Calibri" w:cs="Bookman Old Style"/>
          <w:color w:val="000000"/>
        </w:rPr>
      </w:pPr>
      <w:r w:rsidRPr="0027325B">
        <w:rPr>
          <w:rFonts w:ascii="Calibri" w:hAnsi="Calibri" w:cs="Bookman Old Style"/>
          <w:color w:val="000000"/>
        </w:rPr>
        <w:t xml:space="preserve">OBIETTIVO 2- Realizzazione di iniziative di informazione/sensibilizzazione sull’attività del </w:t>
      </w:r>
      <w:proofErr w:type="spellStart"/>
      <w:r w:rsidRPr="0027325B">
        <w:rPr>
          <w:rFonts w:ascii="Calibri" w:hAnsi="Calibri" w:cs="Bookman Old Style"/>
          <w:color w:val="000000"/>
        </w:rPr>
        <w:t>Cug</w:t>
      </w:r>
      <w:proofErr w:type="spellEnd"/>
      <w:r w:rsidRPr="0027325B">
        <w:rPr>
          <w:rFonts w:ascii="Calibri" w:hAnsi="Calibri" w:cs="Bookman Old Style"/>
          <w:color w:val="000000"/>
        </w:rPr>
        <w:t xml:space="preserve"> </w:t>
      </w:r>
      <w:proofErr w:type="spellStart"/>
      <w:r w:rsidRPr="0027325B">
        <w:rPr>
          <w:rFonts w:ascii="Calibri" w:hAnsi="Calibri" w:cs="Bookman Old Style"/>
          <w:color w:val="000000"/>
        </w:rPr>
        <w:t>Inrca</w:t>
      </w:r>
      <w:proofErr w:type="spellEnd"/>
      <w:r w:rsidRPr="0027325B">
        <w:rPr>
          <w:rFonts w:ascii="Calibri" w:hAnsi="Calibri" w:cs="Bookman Old Style"/>
          <w:color w:val="000000"/>
        </w:rPr>
        <w:t xml:space="preserve"> e sulla sua azione di rispetto delle tematiche di genere e contrasto alla discriminazione</w:t>
      </w:r>
    </w:p>
    <w:p w:rsidR="00551055" w:rsidRPr="005F4F27" w:rsidRDefault="00551055" w:rsidP="00C31AB1">
      <w:pPr>
        <w:pStyle w:val="Titolo1"/>
        <w:numPr>
          <w:ilvl w:val="0"/>
          <w:numId w:val="1"/>
        </w:numPr>
        <w:tabs>
          <w:tab w:val="num" w:pos="432"/>
          <w:tab w:val="num" w:pos="540"/>
        </w:tabs>
        <w:ind w:left="0" w:firstLine="0"/>
        <w:jc w:val="left"/>
        <w:rPr>
          <w:rFonts w:asciiTheme="minorHAnsi" w:hAnsiTheme="minorHAnsi"/>
          <w:sz w:val="24"/>
          <w:szCs w:val="24"/>
        </w:rPr>
      </w:pPr>
      <w:r>
        <w:rPr>
          <w:rFonts w:asciiTheme="minorHAnsi" w:hAnsiTheme="minorHAnsi"/>
          <w:sz w:val="24"/>
          <w:szCs w:val="24"/>
        </w:rPr>
        <w:lastRenderedPageBreak/>
        <w:t>Considerazioni conclusive</w:t>
      </w:r>
      <w:bookmarkEnd w:id="13"/>
      <w:r w:rsidRPr="005F4F27">
        <w:rPr>
          <w:rFonts w:asciiTheme="minorHAnsi" w:hAnsiTheme="minorHAnsi"/>
          <w:sz w:val="24"/>
          <w:szCs w:val="24"/>
        </w:rPr>
        <w:t xml:space="preserve"> </w:t>
      </w:r>
    </w:p>
    <w:p w:rsidR="00176EB6" w:rsidRDefault="00176EB6" w:rsidP="00176EB6">
      <w:pPr>
        <w:ind w:left="360"/>
        <w:rPr>
          <w:iCs/>
        </w:rPr>
      </w:pPr>
    </w:p>
    <w:p w:rsidR="001D1DDB" w:rsidRPr="001A1A11" w:rsidRDefault="00176EB6" w:rsidP="002C0FCE">
      <w:pPr>
        <w:jc w:val="both"/>
        <w:rPr>
          <w:iCs/>
        </w:rPr>
      </w:pPr>
      <w:r w:rsidRPr="001A1A11">
        <w:rPr>
          <w:iCs/>
        </w:rPr>
        <w:t>Il quadro complessivo della realtà azienda</w:t>
      </w:r>
      <w:r w:rsidR="002C0FCE" w:rsidRPr="001A1A11">
        <w:rPr>
          <w:iCs/>
        </w:rPr>
        <w:t>le</w:t>
      </w:r>
      <w:r w:rsidRPr="001A1A11">
        <w:rPr>
          <w:iCs/>
        </w:rPr>
        <w:t xml:space="preserve"> dell’INRCA appare </w:t>
      </w:r>
      <w:r w:rsidR="003D2E44" w:rsidRPr="001A1A11">
        <w:rPr>
          <w:iCs/>
        </w:rPr>
        <w:t xml:space="preserve">sostanzialmente </w:t>
      </w:r>
      <w:r w:rsidRPr="001A1A11">
        <w:rPr>
          <w:iCs/>
        </w:rPr>
        <w:t xml:space="preserve">positivo, </w:t>
      </w:r>
      <w:r w:rsidR="00447A90" w:rsidRPr="001A1A11">
        <w:rPr>
          <w:iCs/>
        </w:rPr>
        <w:t>soprattutto tenendo conto dei miglioramenti indicati nel precedente paragrafo,</w:t>
      </w:r>
      <w:r w:rsidRPr="001A1A11">
        <w:rPr>
          <w:iCs/>
        </w:rPr>
        <w:t xml:space="preserve"> in una lettura continua con gli anni precedenti, in particolare rimarcando la complessità di una azienda che opera in diversi ambiti regionali.</w:t>
      </w:r>
      <w:r w:rsidR="001D1DDB" w:rsidRPr="001A1A11">
        <w:rPr>
          <w:iCs/>
        </w:rPr>
        <w:t xml:space="preserve"> </w:t>
      </w:r>
    </w:p>
    <w:p w:rsidR="00C132D8" w:rsidRDefault="001A1A11" w:rsidP="002C0FCE">
      <w:pPr>
        <w:jc w:val="both"/>
        <w:rPr>
          <w:iCs/>
        </w:rPr>
      </w:pPr>
      <w:r w:rsidRPr="001A1A11">
        <w:rPr>
          <w:iCs/>
        </w:rPr>
        <w:t>Considerato il graduale superamento</w:t>
      </w:r>
      <w:r w:rsidR="00447A90" w:rsidRPr="001A1A11">
        <w:rPr>
          <w:iCs/>
        </w:rPr>
        <w:t xml:space="preserve"> dell’emergenza pandemica</w:t>
      </w:r>
      <w:r w:rsidRPr="001A1A11">
        <w:rPr>
          <w:iCs/>
        </w:rPr>
        <w:t>, l’</w:t>
      </w:r>
      <w:r>
        <w:rPr>
          <w:iCs/>
        </w:rPr>
        <w:t>Istituto</w:t>
      </w:r>
      <w:r w:rsidRPr="001A1A11">
        <w:rPr>
          <w:iCs/>
        </w:rPr>
        <w:t xml:space="preserve"> ha progressivamente operato per recuperare le attività precedenti all’emergenza</w:t>
      </w:r>
      <w:r w:rsidR="00C132D8">
        <w:rPr>
          <w:iCs/>
        </w:rPr>
        <w:t xml:space="preserve">, proseguendo il percorso di miglioramento delle tempistiche nell’ottica del processo circolare finalizzato alla </w:t>
      </w:r>
      <w:proofErr w:type="spellStart"/>
      <w:r w:rsidR="00C132D8">
        <w:rPr>
          <w:iCs/>
        </w:rPr>
        <w:t>total</w:t>
      </w:r>
      <w:proofErr w:type="spellEnd"/>
      <w:r w:rsidR="00C132D8">
        <w:rPr>
          <w:iCs/>
        </w:rPr>
        <w:t xml:space="preserve"> </w:t>
      </w:r>
      <w:proofErr w:type="spellStart"/>
      <w:r w:rsidR="00C132D8">
        <w:rPr>
          <w:iCs/>
        </w:rPr>
        <w:t>quality</w:t>
      </w:r>
      <w:proofErr w:type="spellEnd"/>
      <w:r w:rsidR="00C132D8">
        <w:rPr>
          <w:iCs/>
        </w:rPr>
        <w:t xml:space="preserve"> dell’</w:t>
      </w:r>
      <w:r w:rsidR="0067733A">
        <w:rPr>
          <w:iCs/>
        </w:rPr>
        <w:t>Istituto</w:t>
      </w:r>
      <w:r w:rsidR="00C132D8">
        <w:rPr>
          <w:iCs/>
        </w:rPr>
        <w:t>, denominato PDCA.</w:t>
      </w:r>
    </w:p>
    <w:p w:rsidR="00C132D8" w:rsidRDefault="00C132D8" w:rsidP="002C0FCE">
      <w:pPr>
        <w:jc w:val="both"/>
        <w:rPr>
          <w:iCs/>
        </w:rPr>
      </w:pPr>
      <w:r>
        <w:rPr>
          <w:iCs/>
        </w:rPr>
        <w:t>In particolare l’OIV ritiene ci siano ancora margini di miglioramento rispetto alle tempistiche del ciclo budget.</w:t>
      </w:r>
    </w:p>
    <w:p w:rsidR="00C132D8" w:rsidRDefault="00C132D8" w:rsidP="002C0FCE">
      <w:pPr>
        <w:jc w:val="both"/>
        <w:rPr>
          <w:iCs/>
        </w:rPr>
      </w:pPr>
      <w:r>
        <w:rPr>
          <w:iCs/>
        </w:rPr>
        <w:t>Inoltre, come già sottolineato,</w:t>
      </w:r>
      <w:r w:rsidRPr="00C132D8">
        <w:rPr>
          <w:iCs/>
        </w:rPr>
        <w:t xml:space="preserve"> </w:t>
      </w:r>
      <w:r w:rsidRPr="001A1A11">
        <w:rPr>
          <w:iCs/>
        </w:rPr>
        <w:t xml:space="preserve">lo sviluppo di una gestione </w:t>
      </w:r>
      <w:r w:rsidR="005728E8">
        <w:rPr>
          <w:iCs/>
        </w:rPr>
        <w:t xml:space="preserve">maggiormente </w:t>
      </w:r>
      <w:r w:rsidRPr="001A1A11">
        <w:rPr>
          <w:iCs/>
        </w:rPr>
        <w:t>informatizzata del ciclo performance consentirebbe una migliore gestione dell'intero percorso, anche a livello documentale, specie se integrata con una funzione di cruscotto direzionale.</w:t>
      </w:r>
    </w:p>
    <w:p w:rsidR="00870B59" w:rsidRDefault="00870B59" w:rsidP="00870B59">
      <w:pPr>
        <w:jc w:val="both"/>
        <w:rPr>
          <w:iCs/>
        </w:rPr>
      </w:pPr>
    </w:p>
    <w:p w:rsidR="00C132D8" w:rsidRDefault="00C132D8" w:rsidP="00870B59">
      <w:pPr>
        <w:jc w:val="both"/>
        <w:rPr>
          <w:iCs/>
        </w:rPr>
      </w:pPr>
    </w:p>
    <w:p w:rsidR="00870B59" w:rsidRDefault="00870B59" w:rsidP="00870B59">
      <w:pPr>
        <w:jc w:val="both"/>
        <w:rPr>
          <w:iCs/>
        </w:rPr>
      </w:pPr>
    </w:p>
    <w:p w:rsidR="00870B59" w:rsidRDefault="00870B59" w:rsidP="00870B59">
      <w:pPr>
        <w:pStyle w:val="Default"/>
        <w:jc w:val="both"/>
        <w:rPr>
          <w:rFonts w:asciiTheme="minorHAnsi" w:hAnsiTheme="minorHAnsi"/>
          <w:sz w:val="22"/>
          <w:szCs w:val="22"/>
        </w:rPr>
      </w:pPr>
    </w:p>
    <w:p w:rsidR="00870B59" w:rsidRDefault="00870B59" w:rsidP="00870B59">
      <w:r w:rsidRPr="00AD46F0">
        <w:t>L’Organismo Indipendente di Valutazione</w:t>
      </w:r>
    </w:p>
    <w:p w:rsidR="00CE5246" w:rsidRPr="00AD46F0" w:rsidRDefault="00CE5246" w:rsidP="00870B59"/>
    <w:p w:rsidR="00870B59" w:rsidRPr="00AD46F0" w:rsidRDefault="0095787B" w:rsidP="00870B59">
      <w:r>
        <w:t>Dott. Carlo Somenzi</w:t>
      </w:r>
      <w:r w:rsidR="00870B59" w:rsidRPr="00AD46F0">
        <w:tab/>
      </w:r>
      <w:r w:rsidR="00870B59" w:rsidRPr="00AD46F0">
        <w:tab/>
        <w:t>(Presidente)</w:t>
      </w:r>
      <w:r w:rsidR="00870B59" w:rsidRPr="00AD46F0">
        <w:tab/>
        <w:t xml:space="preserve">     </w:t>
      </w:r>
    </w:p>
    <w:p w:rsidR="00870B59" w:rsidRPr="00AD46F0" w:rsidRDefault="00870B59" w:rsidP="00870B59">
      <w:r w:rsidRPr="00AD46F0">
        <w:t xml:space="preserve">                                                                                                                  </w:t>
      </w:r>
      <w:r w:rsidRPr="00AD46F0">
        <w:tab/>
      </w:r>
      <w:r w:rsidRPr="00AD46F0">
        <w:tab/>
      </w:r>
    </w:p>
    <w:p w:rsidR="00870B59" w:rsidRPr="00AD46F0" w:rsidRDefault="0095787B" w:rsidP="00870B59">
      <w:r>
        <w:t>Dott.</w:t>
      </w:r>
      <w:r w:rsidR="00A855E9">
        <w:t xml:space="preserve"> </w:t>
      </w:r>
      <w:proofErr w:type="spellStart"/>
      <w:r w:rsidR="00A855E9">
        <w:t>ssa</w:t>
      </w:r>
      <w:proofErr w:type="spellEnd"/>
      <w:r w:rsidR="00A855E9">
        <w:t xml:space="preserve"> Laura Oliveri</w:t>
      </w:r>
      <w:r w:rsidR="00870B59" w:rsidRPr="00AD46F0">
        <w:tab/>
      </w:r>
      <w:r w:rsidR="00870B59">
        <w:tab/>
      </w:r>
      <w:r w:rsidR="00870B59" w:rsidRPr="00AD46F0">
        <w:t>(Componente)</w:t>
      </w:r>
      <w:r w:rsidR="00870B59" w:rsidRPr="00AD46F0">
        <w:tab/>
        <w:t xml:space="preserve">     </w:t>
      </w:r>
    </w:p>
    <w:p w:rsidR="00870B59" w:rsidRPr="00AD46F0" w:rsidRDefault="00870B59" w:rsidP="00870B59">
      <w:pPr>
        <w:ind w:left="6372" w:firstLine="708"/>
      </w:pPr>
    </w:p>
    <w:p w:rsidR="00870B59" w:rsidRPr="00AD46F0" w:rsidRDefault="0095787B" w:rsidP="00870B59">
      <w:r>
        <w:t xml:space="preserve">Dott. </w:t>
      </w:r>
      <w:r w:rsidR="00111A0A">
        <w:t>Luca Ricciotti</w:t>
      </w:r>
      <w:r w:rsidR="00870B59" w:rsidRPr="00AD46F0">
        <w:t xml:space="preserve"> </w:t>
      </w:r>
      <w:r w:rsidR="00870B59" w:rsidRPr="00AD46F0">
        <w:tab/>
      </w:r>
      <w:r w:rsidR="00870B59" w:rsidRPr="00AD46F0">
        <w:tab/>
        <w:t>(Componente)</w:t>
      </w:r>
      <w:r w:rsidR="00870B59" w:rsidRPr="00AD46F0">
        <w:tab/>
        <w:t xml:space="preserve">     </w:t>
      </w:r>
    </w:p>
    <w:p w:rsidR="00870B59" w:rsidRPr="00AD46F0" w:rsidRDefault="00870B59" w:rsidP="00870B59"/>
    <w:p w:rsidR="00870B59" w:rsidRPr="00AD46F0" w:rsidRDefault="00870B59" w:rsidP="00870B59"/>
    <w:p w:rsidR="00870B59" w:rsidRPr="00AD46F0" w:rsidRDefault="00870B59" w:rsidP="00870B59">
      <w:r w:rsidRPr="00AD46F0">
        <w:t>Per presa visione</w:t>
      </w:r>
    </w:p>
    <w:p w:rsidR="00870B59" w:rsidRPr="00AD46F0" w:rsidRDefault="00870B59" w:rsidP="00870B59">
      <w:r w:rsidRPr="00AD46F0">
        <w:t>La Struttura Tecnica di supporto</w:t>
      </w:r>
    </w:p>
    <w:p w:rsidR="00870B59" w:rsidRPr="00A4335F" w:rsidRDefault="00870B59" w:rsidP="00870B59">
      <w:pPr>
        <w:rPr>
          <w:sz w:val="24"/>
          <w:szCs w:val="24"/>
        </w:rPr>
      </w:pPr>
      <w:r w:rsidRPr="00AD46F0">
        <w:t xml:space="preserve">F.to Dott. Roberto Di Ruscio </w:t>
      </w:r>
      <w:r w:rsidRPr="00AD46F0">
        <w:tab/>
      </w:r>
      <w:r w:rsidRPr="00AD46F0">
        <w:tab/>
      </w:r>
      <w:r w:rsidRPr="00A4335F">
        <w:rPr>
          <w:sz w:val="24"/>
          <w:szCs w:val="24"/>
        </w:rPr>
        <w:tab/>
        <w:t xml:space="preserve">     </w:t>
      </w:r>
    </w:p>
    <w:p w:rsidR="00870B59" w:rsidRPr="00A4335F" w:rsidRDefault="00870B59" w:rsidP="00870B59">
      <w:pPr>
        <w:pStyle w:val="Default"/>
        <w:jc w:val="both"/>
        <w:rPr>
          <w:rFonts w:asciiTheme="minorHAnsi" w:hAnsiTheme="minorHAnsi"/>
          <w:sz w:val="22"/>
          <w:szCs w:val="22"/>
        </w:rPr>
      </w:pPr>
    </w:p>
    <w:p w:rsidR="00870B59" w:rsidRPr="00870B59" w:rsidRDefault="00870B59" w:rsidP="00870B59">
      <w:pPr>
        <w:jc w:val="both"/>
        <w:rPr>
          <w:iCs/>
        </w:rPr>
      </w:pPr>
    </w:p>
    <w:p w:rsidR="001D1DDB" w:rsidRPr="00176EB6" w:rsidRDefault="001D1DDB" w:rsidP="001D1DDB">
      <w:pPr>
        <w:pStyle w:val="Paragrafoelenco"/>
        <w:jc w:val="both"/>
        <w:rPr>
          <w:iCs/>
        </w:rPr>
      </w:pPr>
    </w:p>
    <w:p w:rsidR="00ED23E3" w:rsidRPr="00176EB6" w:rsidRDefault="00ED23E3" w:rsidP="00045951">
      <w:pPr>
        <w:pStyle w:val="Default"/>
        <w:jc w:val="both"/>
        <w:rPr>
          <w:rFonts w:asciiTheme="minorHAnsi" w:hAnsiTheme="minorHAnsi"/>
          <w:sz w:val="22"/>
          <w:szCs w:val="22"/>
        </w:rPr>
      </w:pPr>
    </w:p>
    <w:sectPr w:rsidR="00ED23E3" w:rsidRPr="00176EB6" w:rsidSect="00125D7C">
      <w:headerReference w:type="even" r:id="rId9"/>
      <w:headerReference w:type="default" r:id="rId10"/>
      <w:footerReference w:type="even" r:id="rId11"/>
      <w:footerReference w:type="default" r:id="rId12"/>
      <w:headerReference w:type="first" r:id="rId13"/>
      <w:footerReference w:type="first" r:id="rId14"/>
      <w:pgSz w:w="11906" w:h="17338"/>
      <w:pgMar w:top="1400" w:right="900"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3F2" w:rsidRDefault="00C573F2" w:rsidP="00577951">
      <w:r>
        <w:separator/>
      </w:r>
    </w:p>
  </w:endnote>
  <w:endnote w:type="continuationSeparator" w:id="0">
    <w:p w:rsidR="00C573F2" w:rsidRDefault="00C573F2" w:rsidP="0057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F73" w:rsidRDefault="00E93F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91480"/>
      <w:docPartObj>
        <w:docPartGallery w:val="Page Numbers (Bottom of Page)"/>
        <w:docPartUnique/>
      </w:docPartObj>
    </w:sdtPr>
    <w:sdtEndPr/>
    <w:sdtContent>
      <w:p w:rsidR="005373A5" w:rsidRDefault="007C035B">
        <w:pPr>
          <w:pStyle w:val="Pidipagina"/>
          <w:jc w:val="right"/>
        </w:pPr>
        <w:r>
          <w:rPr>
            <w:noProof/>
          </w:rPr>
          <w:fldChar w:fldCharType="begin"/>
        </w:r>
        <w:r>
          <w:rPr>
            <w:noProof/>
          </w:rPr>
          <w:instrText xml:space="preserve"> PAGE   \* MERGEFORMAT </w:instrText>
        </w:r>
        <w:r>
          <w:rPr>
            <w:noProof/>
          </w:rPr>
          <w:fldChar w:fldCharType="separate"/>
        </w:r>
        <w:r w:rsidR="000F1A03">
          <w:rPr>
            <w:noProof/>
          </w:rPr>
          <w:t>1</w:t>
        </w:r>
        <w:r>
          <w:rPr>
            <w:noProof/>
          </w:rPr>
          <w:fldChar w:fldCharType="end"/>
        </w:r>
      </w:p>
    </w:sdtContent>
  </w:sdt>
  <w:p w:rsidR="005373A5" w:rsidRDefault="005373A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F73" w:rsidRDefault="00E93F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3F2" w:rsidRDefault="00C573F2" w:rsidP="00577951">
      <w:r>
        <w:separator/>
      </w:r>
    </w:p>
  </w:footnote>
  <w:footnote w:type="continuationSeparator" w:id="0">
    <w:p w:rsidR="00C573F2" w:rsidRDefault="00C573F2" w:rsidP="0057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F73" w:rsidRDefault="00E93F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3A5" w:rsidRDefault="00C573F2">
    <w:pPr>
      <w:pStyle w:val="Intestazione"/>
    </w:pPr>
    <w:sdt>
      <w:sdtPr>
        <w:rPr>
          <w:rFonts w:ascii="Arial" w:hAnsi="Arial" w:cs="Arial"/>
          <w:color w:val="6427FD"/>
          <w:sz w:val="16"/>
          <w:szCs w:val="16"/>
        </w:rPr>
        <w:id w:val="1975093960"/>
        <w:docPartObj>
          <w:docPartGallery w:val="Watermarks"/>
          <w:docPartUnique/>
        </w:docPartObj>
      </w:sdtPr>
      <w:sdtEndPr/>
      <w:sdtContent>
        <w:r>
          <w:rPr>
            <w:rFonts w:ascii="Arial" w:hAnsi="Arial" w:cs="Arial"/>
            <w:color w:val="6427FD"/>
            <w:sz w:val="16"/>
            <w:szCs w:val="16"/>
          </w:rPr>
          <w:pict w14:anchorId="04F94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870B59">
      <w:rPr>
        <w:rFonts w:ascii="Arial" w:hAnsi="Arial" w:cs="Arial"/>
        <w:color w:val="6427FD"/>
        <w:sz w:val="16"/>
        <w:szCs w:val="16"/>
      </w:rPr>
      <w:tab/>
    </w:r>
    <w:r w:rsidR="00870B59">
      <w:rPr>
        <w:rFonts w:ascii="Arial" w:hAnsi="Arial" w:cs="Arial"/>
        <w:color w:val="6427FD"/>
        <w:sz w:val="16"/>
        <w:szCs w:val="16"/>
      </w:rPr>
      <w:tab/>
      <w:t>L’ORGANISMO INDIPENDENTE DI VALUTAZIONE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F73" w:rsidRDefault="00E93F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0FB6"/>
    <w:multiLevelType w:val="hybridMultilevel"/>
    <w:tmpl w:val="F2CE5662"/>
    <w:lvl w:ilvl="0" w:tplc="5A0AC3C8">
      <w:start w:val="1"/>
      <w:numFmt w:val="bullet"/>
      <w:lvlText w:val="–"/>
      <w:lvlJc w:val="left"/>
      <w:pPr>
        <w:tabs>
          <w:tab w:val="num" w:pos="720"/>
        </w:tabs>
        <w:ind w:left="720" w:hanging="360"/>
      </w:pPr>
      <w:rPr>
        <w:rFonts w:ascii="Arial" w:hAnsi="Arial" w:hint="default"/>
      </w:rPr>
    </w:lvl>
    <w:lvl w:ilvl="1" w:tplc="65409E06">
      <w:start w:val="1"/>
      <w:numFmt w:val="bullet"/>
      <w:lvlText w:val="–"/>
      <w:lvlJc w:val="left"/>
      <w:pPr>
        <w:tabs>
          <w:tab w:val="num" w:pos="1440"/>
        </w:tabs>
        <w:ind w:left="1440" w:hanging="360"/>
      </w:pPr>
      <w:rPr>
        <w:rFonts w:ascii="Arial" w:hAnsi="Arial" w:hint="default"/>
      </w:rPr>
    </w:lvl>
    <w:lvl w:ilvl="2" w:tplc="C062118C" w:tentative="1">
      <w:start w:val="1"/>
      <w:numFmt w:val="bullet"/>
      <w:lvlText w:val="–"/>
      <w:lvlJc w:val="left"/>
      <w:pPr>
        <w:tabs>
          <w:tab w:val="num" w:pos="2160"/>
        </w:tabs>
        <w:ind w:left="2160" w:hanging="360"/>
      </w:pPr>
      <w:rPr>
        <w:rFonts w:ascii="Arial" w:hAnsi="Arial" w:hint="default"/>
      </w:rPr>
    </w:lvl>
    <w:lvl w:ilvl="3" w:tplc="97807D4A" w:tentative="1">
      <w:start w:val="1"/>
      <w:numFmt w:val="bullet"/>
      <w:lvlText w:val="–"/>
      <w:lvlJc w:val="left"/>
      <w:pPr>
        <w:tabs>
          <w:tab w:val="num" w:pos="2880"/>
        </w:tabs>
        <w:ind w:left="2880" w:hanging="360"/>
      </w:pPr>
      <w:rPr>
        <w:rFonts w:ascii="Arial" w:hAnsi="Arial" w:hint="default"/>
      </w:rPr>
    </w:lvl>
    <w:lvl w:ilvl="4" w:tplc="DDD8346C" w:tentative="1">
      <w:start w:val="1"/>
      <w:numFmt w:val="bullet"/>
      <w:lvlText w:val="–"/>
      <w:lvlJc w:val="left"/>
      <w:pPr>
        <w:tabs>
          <w:tab w:val="num" w:pos="3600"/>
        </w:tabs>
        <w:ind w:left="3600" w:hanging="360"/>
      </w:pPr>
      <w:rPr>
        <w:rFonts w:ascii="Arial" w:hAnsi="Arial" w:hint="default"/>
      </w:rPr>
    </w:lvl>
    <w:lvl w:ilvl="5" w:tplc="79BCB808" w:tentative="1">
      <w:start w:val="1"/>
      <w:numFmt w:val="bullet"/>
      <w:lvlText w:val="–"/>
      <w:lvlJc w:val="left"/>
      <w:pPr>
        <w:tabs>
          <w:tab w:val="num" w:pos="4320"/>
        </w:tabs>
        <w:ind w:left="4320" w:hanging="360"/>
      </w:pPr>
      <w:rPr>
        <w:rFonts w:ascii="Arial" w:hAnsi="Arial" w:hint="default"/>
      </w:rPr>
    </w:lvl>
    <w:lvl w:ilvl="6" w:tplc="AC40BB98" w:tentative="1">
      <w:start w:val="1"/>
      <w:numFmt w:val="bullet"/>
      <w:lvlText w:val="–"/>
      <w:lvlJc w:val="left"/>
      <w:pPr>
        <w:tabs>
          <w:tab w:val="num" w:pos="5040"/>
        </w:tabs>
        <w:ind w:left="5040" w:hanging="360"/>
      </w:pPr>
      <w:rPr>
        <w:rFonts w:ascii="Arial" w:hAnsi="Arial" w:hint="default"/>
      </w:rPr>
    </w:lvl>
    <w:lvl w:ilvl="7" w:tplc="63A0534C" w:tentative="1">
      <w:start w:val="1"/>
      <w:numFmt w:val="bullet"/>
      <w:lvlText w:val="–"/>
      <w:lvlJc w:val="left"/>
      <w:pPr>
        <w:tabs>
          <w:tab w:val="num" w:pos="5760"/>
        </w:tabs>
        <w:ind w:left="5760" w:hanging="360"/>
      </w:pPr>
      <w:rPr>
        <w:rFonts w:ascii="Arial" w:hAnsi="Arial" w:hint="default"/>
      </w:rPr>
    </w:lvl>
    <w:lvl w:ilvl="8" w:tplc="095C58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532B2A"/>
    <w:multiLevelType w:val="hybridMultilevel"/>
    <w:tmpl w:val="4D644E28"/>
    <w:lvl w:ilvl="0" w:tplc="A7607726">
      <w:start w:val="3"/>
      <w:numFmt w:val="decimal"/>
      <w:lvlText w:val="%1."/>
      <w:lvlJc w:val="left"/>
      <w:pPr>
        <w:ind w:left="113" w:hanging="307"/>
        <w:jc w:val="right"/>
      </w:pPr>
      <w:rPr>
        <w:rFonts w:ascii="Georgia" w:eastAsia="Georgia" w:hAnsi="Georgia" w:cs="Georgia" w:hint="default"/>
        <w:b/>
        <w:bCs/>
        <w:w w:val="70"/>
        <w:sz w:val="28"/>
        <w:szCs w:val="28"/>
      </w:rPr>
    </w:lvl>
    <w:lvl w:ilvl="1" w:tplc="67F0FB4A">
      <w:numFmt w:val="bullet"/>
      <w:lvlText w:val="•"/>
      <w:lvlJc w:val="left"/>
      <w:pPr>
        <w:ind w:left="113" w:hanging="160"/>
      </w:pPr>
      <w:rPr>
        <w:rFonts w:ascii="Georgia" w:eastAsia="Georgia" w:hAnsi="Georgia" w:cs="Georgia" w:hint="default"/>
        <w:w w:val="112"/>
        <w:sz w:val="24"/>
        <w:szCs w:val="24"/>
      </w:rPr>
    </w:lvl>
    <w:lvl w:ilvl="2" w:tplc="F7F62F3A">
      <w:numFmt w:val="bullet"/>
      <w:lvlText w:val="•"/>
      <w:lvlJc w:val="left"/>
      <w:pPr>
        <w:ind w:left="2041" w:hanging="160"/>
      </w:pPr>
      <w:rPr>
        <w:rFonts w:hint="default"/>
      </w:rPr>
    </w:lvl>
    <w:lvl w:ilvl="3" w:tplc="1FE26F32">
      <w:numFmt w:val="bullet"/>
      <w:lvlText w:val="•"/>
      <w:lvlJc w:val="left"/>
      <w:pPr>
        <w:ind w:left="3001" w:hanging="160"/>
      </w:pPr>
      <w:rPr>
        <w:rFonts w:hint="default"/>
      </w:rPr>
    </w:lvl>
    <w:lvl w:ilvl="4" w:tplc="62D639C8">
      <w:numFmt w:val="bullet"/>
      <w:lvlText w:val="•"/>
      <w:lvlJc w:val="left"/>
      <w:pPr>
        <w:ind w:left="3962" w:hanging="160"/>
      </w:pPr>
      <w:rPr>
        <w:rFonts w:hint="default"/>
      </w:rPr>
    </w:lvl>
    <w:lvl w:ilvl="5" w:tplc="099E6864">
      <w:numFmt w:val="bullet"/>
      <w:lvlText w:val="•"/>
      <w:lvlJc w:val="left"/>
      <w:pPr>
        <w:ind w:left="4922" w:hanging="160"/>
      </w:pPr>
      <w:rPr>
        <w:rFonts w:hint="default"/>
      </w:rPr>
    </w:lvl>
    <w:lvl w:ilvl="6" w:tplc="47526352">
      <w:numFmt w:val="bullet"/>
      <w:lvlText w:val="•"/>
      <w:lvlJc w:val="left"/>
      <w:pPr>
        <w:ind w:left="5883" w:hanging="160"/>
      </w:pPr>
      <w:rPr>
        <w:rFonts w:hint="default"/>
      </w:rPr>
    </w:lvl>
    <w:lvl w:ilvl="7" w:tplc="A26A319E">
      <w:numFmt w:val="bullet"/>
      <w:lvlText w:val="•"/>
      <w:lvlJc w:val="left"/>
      <w:pPr>
        <w:ind w:left="6844" w:hanging="160"/>
      </w:pPr>
      <w:rPr>
        <w:rFonts w:hint="default"/>
      </w:rPr>
    </w:lvl>
    <w:lvl w:ilvl="8" w:tplc="0AAE160A">
      <w:numFmt w:val="bullet"/>
      <w:lvlText w:val="•"/>
      <w:lvlJc w:val="left"/>
      <w:pPr>
        <w:ind w:left="7804" w:hanging="160"/>
      </w:pPr>
      <w:rPr>
        <w:rFonts w:hint="default"/>
      </w:rPr>
    </w:lvl>
  </w:abstractNum>
  <w:abstractNum w:abstractNumId="2" w15:restartNumberingAfterBreak="0">
    <w:nsid w:val="269256E6"/>
    <w:multiLevelType w:val="hybridMultilevel"/>
    <w:tmpl w:val="0A4C4388"/>
    <w:lvl w:ilvl="0" w:tplc="DD6629F6">
      <w:numFmt w:val="bullet"/>
      <w:lvlText w:val="-"/>
      <w:lvlJc w:val="left"/>
      <w:pPr>
        <w:ind w:left="72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86C6FDA"/>
    <w:multiLevelType w:val="hybridMultilevel"/>
    <w:tmpl w:val="B5EA6F82"/>
    <w:lvl w:ilvl="0" w:tplc="C5E09D54">
      <w:start w:val="4"/>
      <w:numFmt w:val="bullet"/>
      <w:lvlText w:val="-"/>
      <w:lvlJc w:val="left"/>
      <w:pPr>
        <w:tabs>
          <w:tab w:val="num" w:pos="1068"/>
        </w:tabs>
        <w:ind w:left="1068" w:hanging="360"/>
      </w:pPr>
      <w:rPr>
        <w:rFonts w:ascii="Tahoma" w:hAnsi="Tahoma" w:cs="Times New Roman" w:hint="default"/>
        <w:color w:val="333399"/>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decimal"/>
      <w:lvlText w:val="%3."/>
      <w:lvlJc w:val="left"/>
      <w:pPr>
        <w:tabs>
          <w:tab w:val="num" w:pos="2508"/>
        </w:tabs>
        <w:ind w:left="2508" w:hanging="360"/>
      </w:pPr>
    </w:lvl>
    <w:lvl w:ilvl="3" w:tplc="04100001">
      <w:start w:val="1"/>
      <w:numFmt w:val="decimal"/>
      <w:lvlText w:val="%4."/>
      <w:lvlJc w:val="left"/>
      <w:pPr>
        <w:tabs>
          <w:tab w:val="num" w:pos="3228"/>
        </w:tabs>
        <w:ind w:left="3228" w:hanging="360"/>
      </w:pPr>
    </w:lvl>
    <w:lvl w:ilvl="4" w:tplc="04100003">
      <w:start w:val="1"/>
      <w:numFmt w:val="decimal"/>
      <w:lvlText w:val="%5."/>
      <w:lvlJc w:val="left"/>
      <w:pPr>
        <w:tabs>
          <w:tab w:val="num" w:pos="3948"/>
        </w:tabs>
        <w:ind w:left="3948" w:hanging="360"/>
      </w:pPr>
    </w:lvl>
    <w:lvl w:ilvl="5" w:tplc="04100005">
      <w:start w:val="1"/>
      <w:numFmt w:val="decimal"/>
      <w:lvlText w:val="%6."/>
      <w:lvlJc w:val="left"/>
      <w:pPr>
        <w:tabs>
          <w:tab w:val="num" w:pos="4668"/>
        </w:tabs>
        <w:ind w:left="4668" w:hanging="360"/>
      </w:pPr>
    </w:lvl>
    <w:lvl w:ilvl="6" w:tplc="04100001">
      <w:start w:val="1"/>
      <w:numFmt w:val="decimal"/>
      <w:lvlText w:val="%7."/>
      <w:lvlJc w:val="left"/>
      <w:pPr>
        <w:tabs>
          <w:tab w:val="num" w:pos="5388"/>
        </w:tabs>
        <w:ind w:left="5388" w:hanging="360"/>
      </w:pPr>
    </w:lvl>
    <w:lvl w:ilvl="7" w:tplc="04100003">
      <w:start w:val="1"/>
      <w:numFmt w:val="decimal"/>
      <w:lvlText w:val="%8."/>
      <w:lvlJc w:val="left"/>
      <w:pPr>
        <w:tabs>
          <w:tab w:val="num" w:pos="6108"/>
        </w:tabs>
        <w:ind w:left="6108" w:hanging="360"/>
      </w:pPr>
    </w:lvl>
    <w:lvl w:ilvl="8" w:tplc="04100005">
      <w:start w:val="1"/>
      <w:numFmt w:val="decimal"/>
      <w:lvlText w:val="%9."/>
      <w:lvlJc w:val="left"/>
      <w:pPr>
        <w:tabs>
          <w:tab w:val="num" w:pos="6828"/>
        </w:tabs>
        <w:ind w:left="6828" w:hanging="360"/>
      </w:pPr>
    </w:lvl>
  </w:abstractNum>
  <w:abstractNum w:abstractNumId="4" w15:restartNumberingAfterBreak="0">
    <w:nsid w:val="31A30358"/>
    <w:multiLevelType w:val="hybridMultilevel"/>
    <w:tmpl w:val="E9108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C61D7A"/>
    <w:multiLevelType w:val="hybridMultilevel"/>
    <w:tmpl w:val="F0B859AA"/>
    <w:lvl w:ilvl="0" w:tplc="C5E09D54">
      <w:start w:val="4"/>
      <w:numFmt w:val="bullet"/>
      <w:lvlText w:val="-"/>
      <w:lvlJc w:val="left"/>
      <w:pPr>
        <w:ind w:left="720" w:hanging="360"/>
      </w:pPr>
      <w:rPr>
        <w:rFonts w:ascii="Tahoma" w:hAnsi="Tahoma" w:hint="default"/>
        <w:color w:val="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010772"/>
    <w:multiLevelType w:val="hybridMultilevel"/>
    <w:tmpl w:val="88B65470"/>
    <w:lvl w:ilvl="0" w:tplc="FC9C9864">
      <w:start w:val="1"/>
      <w:numFmt w:val="bullet"/>
      <w:lvlText w:val=""/>
      <w:lvlJc w:val="left"/>
      <w:pPr>
        <w:tabs>
          <w:tab w:val="num" w:pos="900"/>
        </w:tabs>
        <w:ind w:left="900" w:hanging="360"/>
      </w:pPr>
      <w:rPr>
        <w:rFonts w:ascii="Symbol" w:hAnsi="Symbol" w:hint="default"/>
        <w:color w:val="auto"/>
      </w:rPr>
    </w:lvl>
    <w:lvl w:ilvl="1" w:tplc="04100003" w:tentative="1">
      <w:start w:val="1"/>
      <w:numFmt w:val="bullet"/>
      <w:lvlText w:val="o"/>
      <w:lvlJc w:val="left"/>
      <w:pPr>
        <w:tabs>
          <w:tab w:val="num" w:pos="984"/>
        </w:tabs>
        <w:ind w:left="984" w:hanging="360"/>
      </w:pPr>
      <w:rPr>
        <w:rFonts w:ascii="Courier New" w:hAnsi="Courier New" w:cs="Courier New" w:hint="default"/>
      </w:rPr>
    </w:lvl>
    <w:lvl w:ilvl="2" w:tplc="04100005" w:tentative="1">
      <w:start w:val="1"/>
      <w:numFmt w:val="bullet"/>
      <w:lvlText w:val=""/>
      <w:lvlJc w:val="left"/>
      <w:pPr>
        <w:tabs>
          <w:tab w:val="num" w:pos="1704"/>
        </w:tabs>
        <w:ind w:left="1704" w:hanging="360"/>
      </w:pPr>
      <w:rPr>
        <w:rFonts w:ascii="Wingdings" w:hAnsi="Wingdings" w:hint="default"/>
      </w:rPr>
    </w:lvl>
    <w:lvl w:ilvl="3" w:tplc="04100001" w:tentative="1">
      <w:start w:val="1"/>
      <w:numFmt w:val="bullet"/>
      <w:lvlText w:val=""/>
      <w:lvlJc w:val="left"/>
      <w:pPr>
        <w:tabs>
          <w:tab w:val="num" w:pos="2424"/>
        </w:tabs>
        <w:ind w:left="2424" w:hanging="360"/>
      </w:pPr>
      <w:rPr>
        <w:rFonts w:ascii="Symbol" w:hAnsi="Symbol" w:hint="default"/>
      </w:rPr>
    </w:lvl>
    <w:lvl w:ilvl="4" w:tplc="04100003" w:tentative="1">
      <w:start w:val="1"/>
      <w:numFmt w:val="bullet"/>
      <w:lvlText w:val="o"/>
      <w:lvlJc w:val="left"/>
      <w:pPr>
        <w:tabs>
          <w:tab w:val="num" w:pos="3144"/>
        </w:tabs>
        <w:ind w:left="3144" w:hanging="360"/>
      </w:pPr>
      <w:rPr>
        <w:rFonts w:ascii="Courier New" w:hAnsi="Courier New" w:cs="Courier New" w:hint="default"/>
      </w:rPr>
    </w:lvl>
    <w:lvl w:ilvl="5" w:tplc="04100005" w:tentative="1">
      <w:start w:val="1"/>
      <w:numFmt w:val="bullet"/>
      <w:lvlText w:val=""/>
      <w:lvlJc w:val="left"/>
      <w:pPr>
        <w:tabs>
          <w:tab w:val="num" w:pos="3864"/>
        </w:tabs>
        <w:ind w:left="3864" w:hanging="360"/>
      </w:pPr>
      <w:rPr>
        <w:rFonts w:ascii="Wingdings" w:hAnsi="Wingdings" w:hint="default"/>
      </w:rPr>
    </w:lvl>
    <w:lvl w:ilvl="6" w:tplc="04100001" w:tentative="1">
      <w:start w:val="1"/>
      <w:numFmt w:val="bullet"/>
      <w:lvlText w:val=""/>
      <w:lvlJc w:val="left"/>
      <w:pPr>
        <w:tabs>
          <w:tab w:val="num" w:pos="4584"/>
        </w:tabs>
        <w:ind w:left="4584" w:hanging="360"/>
      </w:pPr>
      <w:rPr>
        <w:rFonts w:ascii="Symbol" w:hAnsi="Symbol" w:hint="default"/>
      </w:rPr>
    </w:lvl>
    <w:lvl w:ilvl="7" w:tplc="04100003" w:tentative="1">
      <w:start w:val="1"/>
      <w:numFmt w:val="bullet"/>
      <w:lvlText w:val="o"/>
      <w:lvlJc w:val="left"/>
      <w:pPr>
        <w:tabs>
          <w:tab w:val="num" w:pos="5304"/>
        </w:tabs>
        <w:ind w:left="5304" w:hanging="360"/>
      </w:pPr>
      <w:rPr>
        <w:rFonts w:ascii="Courier New" w:hAnsi="Courier New" w:cs="Courier New" w:hint="default"/>
      </w:rPr>
    </w:lvl>
    <w:lvl w:ilvl="8" w:tplc="04100005" w:tentative="1">
      <w:start w:val="1"/>
      <w:numFmt w:val="bullet"/>
      <w:lvlText w:val=""/>
      <w:lvlJc w:val="left"/>
      <w:pPr>
        <w:tabs>
          <w:tab w:val="num" w:pos="6024"/>
        </w:tabs>
        <w:ind w:left="6024" w:hanging="360"/>
      </w:pPr>
      <w:rPr>
        <w:rFonts w:ascii="Wingdings" w:hAnsi="Wingdings" w:hint="default"/>
      </w:rPr>
    </w:lvl>
  </w:abstractNum>
  <w:abstractNum w:abstractNumId="7" w15:restartNumberingAfterBreak="0">
    <w:nsid w:val="3A0D4A8F"/>
    <w:multiLevelType w:val="hybridMultilevel"/>
    <w:tmpl w:val="63423C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377593"/>
    <w:multiLevelType w:val="hybridMultilevel"/>
    <w:tmpl w:val="BC268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4B156B"/>
    <w:multiLevelType w:val="hybridMultilevel"/>
    <w:tmpl w:val="B032DFF6"/>
    <w:lvl w:ilvl="0" w:tplc="8F262558">
      <w:numFmt w:val="bullet"/>
      <w:lvlText w:val="-"/>
      <w:lvlJc w:val="left"/>
      <w:pPr>
        <w:ind w:left="1068" w:hanging="360"/>
      </w:pPr>
      <w:rPr>
        <w:rFonts w:ascii="Calibri" w:eastAsia="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59E31FD7"/>
    <w:multiLevelType w:val="hybridMultilevel"/>
    <w:tmpl w:val="5E987B42"/>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0F311C0"/>
    <w:multiLevelType w:val="hybridMultilevel"/>
    <w:tmpl w:val="80629C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311179"/>
    <w:multiLevelType w:val="hybridMultilevel"/>
    <w:tmpl w:val="E03857B2"/>
    <w:lvl w:ilvl="0" w:tplc="517C5CD6">
      <w:numFmt w:val="bullet"/>
      <w:lvlText w:val="-"/>
      <w:lvlJc w:val="left"/>
      <w:pPr>
        <w:ind w:left="360" w:hanging="360"/>
      </w:pPr>
      <w:rPr>
        <w:rFonts w:ascii="Calibri" w:eastAsiaTheme="minorHAnsi" w:hAnsi="Calibri"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5BF2DAD"/>
    <w:multiLevelType w:val="hybridMultilevel"/>
    <w:tmpl w:val="FABEDE9C"/>
    <w:lvl w:ilvl="0" w:tplc="71625A56">
      <w:start w:val="1"/>
      <w:numFmt w:val="bullet"/>
      <w:lvlText w:val="-"/>
      <w:lvlJc w:val="left"/>
      <w:pPr>
        <w:ind w:left="720" w:hanging="360"/>
      </w:pPr>
      <w:rPr>
        <w:rFonts w:ascii="Calibri" w:eastAsiaTheme="minorHAnsi" w:hAnsi="Calibri"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CB2456"/>
    <w:multiLevelType w:val="hybridMultilevel"/>
    <w:tmpl w:val="5F84B96A"/>
    <w:lvl w:ilvl="0" w:tplc="CD20F0CA">
      <w:start w:val="1"/>
      <w:numFmt w:val="bullet"/>
      <w:lvlText w:val="•"/>
      <w:lvlJc w:val="left"/>
      <w:pPr>
        <w:tabs>
          <w:tab w:val="num" w:pos="720"/>
        </w:tabs>
        <w:ind w:left="720" w:hanging="360"/>
      </w:pPr>
      <w:rPr>
        <w:rFonts w:ascii="Arial" w:hAnsi="Arial" w:hint="default"/>
      </w:rPr>
    </w:lvl>
    <w:lvl w:ilvl="1" w:tplc="1F6E2608" w:tentative="1">
      <w:start w:val="1"/>
      <w:numFmt w:val="bullet"/>
      <w:lvlText w:val="•"/>
      <w:lvlJc w:val="left"/>
      <w:pPr>
        <w:tabs>
          <w:tab w:val="num" w:pos="1440"/>
        </w:tabs>
        <w:ind w:left="1440" w:hanging="360"/>
      </w:pPr>
      <w:rPr>
        <w:rFonts w:ascii="Arial" w:hAnsi="Arial" w:hint="default"/>
      </w:rPr>
    </w:lvl>
    <w:lvl w:ilvl="2" w:tplc="84E0FA92" w:tentative="1">
      <w:start w:val="1"/>
      <w:numFmt w:val="bullet"/>
      <w:lvlText w:val="•"/>
      <w:lvlJc w:val="left"/>
      <w:pPr>
        <w:tabs>
          <w:tab w:val="num" w:pos="2160"/>
        </w:tabs>
        <w:ind w:left="2160" w:hanging="360"/>
      </w:pPr>
      <w:rPr>
        <w:rFonts w:ascii="Arial" w:hAnsi="Arial" w:hint="default"/>
      </w:rPr>
    </w:lvl>
    <w:lvl w:ilvl="3" w:tplc="4EA68E40" w:tentative="1">
      <w:start w:val="1"/>
      <w:numFmt w:val="bullet"/>
      <w:lvlText w:val="•"/>
      <w:lvlJc w:val="left"/>
      <w:pPr>
        <w:tabs>
          <w:tab w:val="num" w:pos="2880"/>
        </w:tabs>
        <w:ind w:left="2880" w:hanging="360"/>
      </w:pPr>
      <w:rPr>
        <w:rFonts w:ascii="Arial" w:hAnsi="Arial" w:hint="default"/>
      </w:rPr>
    </w:lvl>
    <w:lvl w:ilvl="4" w:tplc="A60A5830" w:tentative="1">
      <w:start w:val="1"/>
      <w:numFmt w:val="bullet"/>
      <w:lvlText w:val="•"/>
      <w:lvlJc w:val="left"/>
      <w:pPr>
        <w:tabs>
          <w:tab w:val="num" w:pos="3600"/>
        </w:tabs>
        <w:ind w:left="3600" w:hanging="360"/>
      </w:pPr>
      <w:rPr>
        <w:rFonts w:ascii="Arial" w:hAnsi="Arial" w:hint="default"/>
      </w:rPr>
    </w:lvl>
    <w:lvl w:ilvl="5" w:tplc="BED0C480" w:tentative="1">
      <w:start w:val="1"/>
      <w:numFmt w:val="bullet"/>
      <w:lvlText w:val="•"/>
      <w:lvlJc w:val="left"/>
      <w:pPr>
        <w:tabs>
          <w:tab w:val="num" w:pos="4320"/>
        </w:tabs>
        <w:ind w:left="4320" w:hanging="360"/>
      </w:pPr>
      <w:rPr>
        <w:rFonts w:ascii="Arial" w:hAnsi="Arial" w:hint="default"/>
      </w:rPr>
    </w:lvl>
    <w:lvl w:ilvl="6" w:tplc="02F85140" w:tentative="1">
      <w:start w:val="1"/>
      <w:numFmt w:val="bullet"/>
      <w:lvlText w:val="•"/>
      <w:lvlJc w:val="left"/>
      <w:pPr>
        <w:tabs>
          <w:tab w:val="num" w:pos="5040"/>
        </w:tabs>
        <w:ind w:left="5040" w:hanging="360"/>
      </w:pPr>
      <w:rPr>
        <w:rFonts w:ascii="Arial" w:hAnsi="Arial" w:hint="default"/>
      </w:rPr>
    </w:lvl>
    <w:lvl w:ilvl="7" w:tplc="8CAC1F52" w:tentative="1">
      <w:start w:val="1"/>
      <w:numFmt w:val="bullet"/>
      <w:lvlText w:val="•"/>
      <w:lvlJc w:val="left"/>
      <w:pPr>
        <w:tabs>
          <w:tab w:val="num" w:pos="5760"/>
        </w:tabs>
        <w:ind w:left="5760" w:hanging="360"/>
      </w:pPr>
      <w:rPr>
        <w:rFonts w:ascii="Arial" w:hAnsi="Arial" w:hint="default"/>
      </w:rPr>
    </w:lvl>
    <w:lvl w:ilvl="8" w:tplc="CCC674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430A7F"/>
    <w:multiLevelType w:val="multilevel"/>
    <w:tmpl w:val="AF4C6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1E238E3"/>
    <w:multiLevelType w:val="hybridMultilevel"/>
    <w:tmpl w:val="EBA6CA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49514E"/>
    <w:multiLevelType w:val="hybridMultilevel"/>
    <w:tmpl w:val="60BA4E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2960EF"/>
    <w:multiLevelType w:val="hybridMultilevel"/>
    <w:tmpl w:val="F4F26E6E"/>
    <w:lvl w:ilvl="0" w:tplc="ED8A70BE">
      <w:numFmt w:val="bullet"/>
      <w:lvlText w:val=""/>
      <w:lvlJc w:val="left"/>
      <w:pPr>
        <w:ind w:left="833" w:hanging="360"/>
      </w:pPr>
      <w:rPr>
        <w:rFonts w:ascii="Symbol" w:eastAsia="Symbol" w:hAnsi="Symbol" w:cs="Symbol" w:hint="default"/>
        <w:w w:val="100"/>
        <w:sz w:val="24"/>
        <w:szCs w:val="24"/>
      </w:rPr>
    </w:lvl>
    <w:lvl w:ilvl="1" w:tplc="97BEE05A">
      <w:numFmt w:val="bullet"/>
      <w:lvlText w:val="•"/>
      <w:lvlJc w:val="left"/>
      <w:pPr>
        <w:ind w:left="1728" w:hanging="360"/>
      </w:pPr>
      <w:rPr>
        <w:rFonts w:hint="default"/>
      </w:rPr>
    </w:lvl>
    <w:lvl w:ilvl="2" w:tplc="56B23F76">
      <w:numFmt w:val="bullet"/>
      <w:lvlText w:val="•"/>
      <w:lvlJc w:val="left"/>
      <w:pPr>
        <w:ind w:left="2617" w:hanging="360"/>
      </w:pPr>
      <w:rPr>
        <w:rFonts w:hint="default"/>
      </w:rPr>
    </w:lvl>
    <w:lvl w:ilvl="3" w:tplc="F1F49F22">
      <w:numFmt w:val="bullet"/>
      <w:lvlText w:val="•"/>
      <w:lvlJc w:val="left"/>
      <w:pPr>
        <w:ind w:left="3505" w:hanging="360"/>
      </w:pPr>
      <w:rPr>
        <w:rFonts w:hint="default"/>
      </w:rPr>
    </w:lvl>
    <w:lvl w:ilvl="4" w:tplc="4E4AE73C">
      <w:numFmt w:val="bullet"/>
      <w:lvlText w:val="•"/>
      <w:lvlJc w:val="left"/>
      <w:pPr>
        <w:ind w:left="4394" w:hanging="360"/>
      </w:pPr>
      <w:rPr>
        <w:rFonts w:hint="default"/>
      </w:rPr>
    </w:lvl>
    <w:lvl w:ilvl="5" w:tplc="A54CD13C">
      <w:numFmt w:val="bullet"/>
      <w:lvlText w:val="•"/>
      <w:lvlJc w:val="left"/>
      <w:pPr>
        <w:ind w:left="5282" w:hanging="360"/>
      </w:pPr>
      <w:rPr>
        <w:rFonts w:hint="default"/>
      </w:rPr>
    </w:lvl>
    <w:lvl w:ilvl="6" w:tplc="9260DC8A">
      <w:numFmt w:val="bullet"/>
      <w:lvlText w:val="•"/>
      <w:lvlJc w:val="left"/>
      <w:pPr>
        <w:ind w:left="6171" w:hanging="360"/>
      </w:pPr>
      <w:rPr>
        <w:rFonts w:hint="default"/>
      </w:rPr>
    </w:lvl>
    <w:lvl w:ilvl="7" w:tplc="25768116">
      <w:numFmt w:val="bullet"/>
      <w:lvlText w:val="•"/>
      <w:lvlJc w:val="left"/>
      <w:pPr>
        <w:ind w:left="7060" w:hanging="360"/>
      </w:pPr>
      <w:rPr>
        <w:rFonts w:hint="default"/>
      </w:rPr>
    </w:lvl>
    <w:lvl w:ilvl="8" w:tplc="C96233DC">
      <w:numFmt w:val="bullet"/>
      <w:lvlText w:val="•"/>
      <w:lvlJc w:val="left"/>
      <w:pPr>
        <w:ind w:left="7948" w:hanging="360"/>
      </w:pPr>
      <w:rPr>
        <w:rFonts w:hint="default"/>
      </w:rPr>
    </w:lvl>
  </w:abstractNum>
  <w:abstractNum w:abstractNumId="19" w15:restartNumberingAfterBreak="0">
    <w:nsid w:val="7A444765"/>
    <w:multiLevelType w:val="hybridMultilevel"/>
    <w:tmpl w:val="7D443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4E42CD"/>
    <w:multiLevelType w:val="hybridMultilevel"/>
    <w:tmpl w:val="E77C42EE"/>
    <w:lvl w:ilvl="0" w:tplc="8F262558">
      <w:numFmt w:val="bullet"/>
      <w:lvlText w:val="-"/>
      <w:lvlJc w:val="left"/>
      <w:pPr>
        <w:ind w:left="1068" w:hanging="360"/>
      </w:pPr>
      <w:rPr>
        <w:rFonts w:ascii="Calibri" w:eastAsia="Calibri" w:hAnsi="Calibri" w:cs="Times New Roman" w:hint="default"/>
      </w:rPr>
    </w:lvl>
    <w:lvl w:ilvl="1" w:tplc="04100003">
      <w:start w:val="1"/>
      <w:numFmt w:val="decimal"/>
      <w:lvlText w:val="%2."/>
      <w:lvlJc w:val="left"/>
      <w:pPr>
        <w:tabs>
          <w:tab w:val="num" w:pos="1788"/>
        </w:tabs>
        <w:ind w:left="1788" w:hanging="360"/>
      </w:pPr>
    </w:lvl>
    <w:lvl w:ilvl="2" w:tplc="04100005">
      <w:start w:val="1"/>
      <w:numFmt w:val="decimal"/>
      <w:lvlText w:val="%3."/>
      <w:lvlJc w:val="left"/>
      <w:pPr>
        <w:tabs>
          <w:tab w:val="num" w:pos="2508"/>
        </w:tabs>
        <w:ind w:left="2508" w:hanging="360"/>
      </w:pPr>
    </w:lvl>
    <w:lvl w:ilvl="3" w:tplc="04100001">
      <w:start w:val="1"/>
      <w:numFmt w:val="decimal"/>
      <w:lvlText w:val="%4."/>
      <w:lvlJc w:val="left"/>
      <w:pPr>
        <w:tabs>
          <w:tab w:val="num" w:pos="3228"/>
        </w:tabs>
        <w:ind w:left="3228" w:hanging="360"/>
      </w:pPr>
    </w:lvl>
    <w:lvl w:ilvl="4" w:tplc="04100003">
      <w:start w:val="1"/>
      <w:numFmt w:val="decimal"/>
      <w:lvlText w:val="%5."/>
      <w:lvlJc w:val="left"/>
      <w:pPr>
        <w:tabs>
          <w:tab w:val="num" w:pos="3948"/>
        </w:tabs>
        <w:ind w:left="3948" w:hanging="360"/>
      </w:pPr>
    </w:lvl>
    <w:lvl w:ilvl="5" w:tplc="04100005">
      <w:start w:val="1"/>
      <w:numFmt w:val="decimal"/>
      <w:lvlText w:val="%6."/>
      <w:lvlJc w:val="left"/>
      <w:pPr>
        <w:tabs>
          <w:tab w:val="num" w:pos="4668"/>
        </w:tabs>
        <w:ind w:left="4668" w:hanging="360"/>
      </w:pPr>
    </w:lvl>
    <w:lvl w:ilvl="6" w:tplc="04100001">
      <w:start w:val="1"/>
      <w:numFmt w:val="decimal"/>
      <w:lvlText w:val="%7."/>
      <w:lvlJc w:val="left"/>
      <w:pPr>
        <w:tabs>
          <w:tab w:val="num" w:pos="5388"/>
        </w:tabs>
        <w:ind w:left="5388" w:hanging="360"/>
      </w:pPr>
    </w:lvl>
    <w:lvl w:ilvl="7" w:tplc="04100003">
      <w:start w:val="1"/>
      <w:numFmt w:val="decimal"/>
      <w:lvlText w:val="%8."/>
      <w:lvlJc w:val="left"/>
      <w:pPr>
        <w:tabs>
          <w:tab w:val="num" w:pos="6108"/>
        </w:tabs>
        <w:ind w:left="6108" w:hanging="360"/>
      </w:pPr>
    </w:lvl>
    <w:lvl w:ilvl="8" w:tplc="04100005">
      <w:start w:val="1"/>
      <w:numFmt w:val="decimal"/>
      <w:lvlText w:val="%9."/>
      <w:lvlJc w:val="left"/>
      <w:pPr>
        <w:tabs>
          <w:tab w:val="num" w:pos="6828"/>
        </w:tabs>
        <w:ind w:left="6828" w:hanging="360"/>
      </w:pPr>
    </w:lvl>
  </w:abstractNum>
  <w:num w:numId="1">
    <w:abstractNumId w:val="7"/>
  </w:num>
  <w:num w:numId="2">
    <w:abstractNumId w:val="1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8"/>
  </w:num>
  <w:num w:numId="7">
    <w:abstractNumId w:val="1"/>
  </w:num>
  <w:num w:numId="8">
    <w:abstractNumId w:val="11"/>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4"/>
  </w:num>
  <w:num w:numId="20">
    <w:abstractNumId w:val="14"/>
  </w:num>
  <w:num w:numId="21">
    <w:abstractNumId w:val="0"/>
  </w:num>
  <w:num w:numId="22">
    <w:abstractNumId w:val="8"/>
  </w:num>
  <w:num w:numId="23">
    <w:abstractNumId w:val="12"/>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E2"/>
    <w:rsid w:val="00002ACA"/>
    <w:rsid w:val="00033EA2"/>
    <w:rsid w:val="000442BB"/>
    <w:rsid w:val="00045951"/>
    <w:rsid w:val="00046A9B"/>
    <w:rsid w:val="0005389C"/>
    <w:rsid w:val="0006033D"/>
    <w:rsid w:val="00061FDB"/>
    <w:rsid w:val="00087573"/>
    <w:rsid w:val="000A3244"/>
    <w:rsid w:val="000A3FD7"/>
    <w:rsid w:val="000D638F"/>
    <w:rsid w:val="000D7585"/>
    <w:rsid w:val="000F1A03"/>
    <w:rsid w:val="000F7F2B"/>
    <w:rsid w:val="00110A7A"/>
    <w:rsid w:val="00111A0A"/>
    <w:rsid w:val="00121AAC"/>
    <w:rsid w:val="00122FCD"/>
    <w:rsid w:val="00125D7C"/>
    <w:rsid w:val="001264C0"/>
    <w:rsid w:val="00130616"/>
    <w:rsid w:val="00133CD6"/>
    <w:rsid w:val="001418E5"/>
    <w:rsid w:val="0014697C"/>
    <w:rsid w:val="00167D98"/>
    <w:rsid w:val="001701F0"/>
    <w:rsid w:val="00176EB6"/>
    <w:rsid w:val="00190792"/>
    <w:rsid w:val="001977A3"/>
    <w:rsid w:val="001A1A11"/>
    <w:rsid w:val="001A6733"/>
    <w:rsid w:val="001C52DA"/>
    <w:rsid w:val="001C7B91"/>
    <w:rsid w:val="001D1DDB"/>
    <w:rsid w:val="002023D4"/>
    <w:rsid w:val="0020549E"/>
    <w:rsid w:val="002058EF"/>
    <w:rsid w:val="002208B5"/>
    <w:rsid w:val="00220A86"/>
    <w:rsid w:val="00224A3C"/>
    <w:rsid w:val="002640F9"/>
    <w:rsid w:val="00266A43"/>
    <w:rsid w:val="0027325B"/>
    <w:rsid w:val="002805EC"/>
    <w:rsid w:val="0028650E"/>
    <w:rsid w:val="0029051B"/>
    <w:rsid w:val="00297AC4"/>
    <w:rsid w:val="002A61E1"/>
    <w:rsid w:val="002A7D24"/>
    <w:rsid w:val="002C0FCE"/>
    <w:rsid w:val="002C1366"/>
    <w:rsid w:val="002E245C"/>
    <w:rsid w:val="00323B7C"/>
    <w:rsid w:val="0032443D"/>
    <w:rsid w:val="0034554B"/>
    <w:rsid w:val="003634B3"/>
    <w:rsid w:val="00371908"/>
    <w:rsid w:val="003A0175"/>
    <w:rsid w:val="003A4AFE"/>
    <w:rsid w:val="003A68D8"/>
    <w:rsid w:val="003B3793"/>
    <w:rsid w:val="003D2E44"/>
    <w:rsid w:val="003E4A19"/>
    <w:rsid w:val="003F0836"/>
    <w:rsid w:val="003F1F92"/>
    <w:rsid w:val="00403EA0"/>
    <w:rsid w:val="0040734D"/>
    <w:rsid w:val="00423132"/>
    <w:rsid w:val="00425E22"/>
    <w:rsid w:val="0044477B"/>
    <w:rsid w:val="00447A90"/>
    <w:rsid w:val="00457806"/>
    <w:rsid w:val="004809AA"/>
    <w:rsid w:val="004841D2"/>
    <w:rsid w:val="004867B0"/>
    <w:rsid w:val="004922D6"/>
    <w:rsid w:val="004C2644"/>
    <w:rsid w:val="004D6073"/>
    <w:rsid w:val="004E16DB"/>
    <w:rsid w:val="004E2A3C"/>
    <w:rsid w:val="004E2C46"/>
    <w:rsid w:val="004E741F"/>
    <w:rsid w:val="004E7F80"/>
    <w:rsid w:val="004F0AA4"/>
    <w:rsid w:val="004F2208"/>
    <w:rsid w:val="0052736D"/>
    <w:rsid w:val="00530406"/>
    <w:rsid w:val="00531458"/>
    <w:rsid w:val="00531669"/>
    <w:rsid w:val="005373A5"/>
    <w:rsid w:val="00551055"/>
    <w:rsid w:val="00553AC8"/>
    <w:rsid w:val="00562B5B"/>
    <w:rsid w:val="005728E8"/>
    <w:rsid w:val="00577951"/>
    <w:rsid w:val="00577B3A"/>
    <w:rsid w:val="00584BC7"/>
    <w:rsid w:val="005878F9"/>
    <w:rsid w:val="005A1A79"/>
    <w:rsid w:val="005A7D9F"/>
    <w:rsid w:val="005B52F6"/>
    <w:rsid w:val="005F4F27"/>
    <w:rsid w:val="00620844"/>
    <w:rsid w:val="006241B9"/>
    <w:rsid w:val="006357B2"/>
    <w:rsid w:val="006704FA"/>
    <w:rsid w:val="00676554"/>
    <w:rsid w:val="0067733A"/>
    <w:rsid w:val="006813D7"/>
    <w:rsid w:val="00687177"/>
    <w:rsid w:val="006906DE"/>
    <w:rsid w:val="006B163C"/>
    <w:rsid w:val="006E3F55"/>
    <w:rsid w:val="006F405B"/>
    <w:rsid w:val="00700103"/>
    <w:rsid w:val="00730407"/>
    <w:rsid w:val="00740E24"/>
    <w:rsid w:val="00746F21"/>
    <w:rsid w:val="007504DF"/>
    <w:rsid w:val="00757A49"/>
    <w:rsid w:val="00770A86"/>
    <w:rsid w:val="00781BE2"/>
    <w:rsid w:val="00783CBE"/>
    <w:rsid w:val="007856B1"/>
    <w:rsid w:val="00790C62"/>
    <w:rsid w:val="007975E1"/>
    <w:rsid w:val="007A095B"/>
    <w:rsid w:val="007B3032"/>
    <w:rsid w:val="007B525D"/>
    <w:rsid w:val="007C035B"/>
    <w:rsid w:val="007C1450"/>
    <w:rsid w:val="007D1DC6"/>
    <w:rsid w:val="007F20F8"/>
    <w:rsid w:val="00801FEC"/>
    <w:rsid w:val="008048E8"/>
    <w:rsid w:val="00831186"/>
    <w:rsid w:val="008336C7"/>
    <w:rsid w:val="0083476D"/>
    <w:rsid w:val="00870037"/>
    <w:rsid w:val="00870B59"/>
    <w:rsid w:val="008751D1"/>
    <w:rsid w:val="00883183"/>
    <w:rsid w:val="008A6656"/>
    <w:rsid w:val="008C6104"/>
    <w:rsid w:val="008C7E1D"/>
    <w:rsid w:val="008D25EE"/>
    <w:rsid w:val="008E2899"/>
    <w:rsid w:val="008E3A26"/>
    <w:rsid w:val="008E6F74"/>
    <w:rsid w:val="008F6CAF"/>
    <w:rsid w:val="00923274"/>
    <w:rsid w:val="009402BE"/>
    <w:rsid w:val="00943104"/>
    <w:rsid w:val="009432CC"/>
    <w:rsid w:val="0095787B"/>
    <w:rsid w:val="00962162"/>
    <w:rsid w:val="00975B79"/>
    <w:rsid w:val="00991E63"/>
    <w:rsid w:val="00993BFC"/>
    <w:rsid w:val="009B7D7D"/>
    <w:rsid w:val="009C5047"/>
    <w:rsid w:val="009C73F8"/>
    <w:rsid w:val="00A10811"/>
    <w:rsid w:val="00A31480"/>
    <w:rsid w:val="00A327DD"/>
    <w:rsid w:val="00A432E7"/>
    <w:rsid w:val="00A63C01"/>
    <w:rsid w:val="00A7324B"/>
    <w:rsid w:val="00A855E9"/>
    <w:rsid w:val="00AA1CE9"/>
    <w:rsid w:val="00AA70E9"/>
    <w:rsid w:val="00AC035D"/>
    <w:rsid w:val="00AC472C"/>
    <w:rsid w:val="00AD31D7"/>
    <w:rsid w:val="00AD5B01"/>
    <w:rsid w:val="00AD5B42"/>
    <w:rsid w:val="00AD75F4"/>
    <w:rsid w:val="00AE2DCC"/>
    <w:rsid w:val="00AF34D6"/>
    <w:rsid w:val="00B01251"/>
    <w:rsid w:val="00B2243C"/>
    <w:rsid w:val="00B42BB7"/>
    <w:rsid w:val="00B46161"/>
    <w:rsid w:val="00B4756B"/>
    <w:rsid w:val="00B50ABB"/>
    <w:rsid w:val="00B53DFB"/>
    <w:rsid w:val="00B61A72"/>
    <w:rsid w:val="00B67251"/>
    <w:rsid w:val="00B776D6"/>
    <w:rsid w:val="00BA2FEE"/>
    <w:rsid w:val="00BA4FA3"/>
    <w:rsid w:val="00BC4EA3"/>
    <w:rsid w:val="00BD6905"/>
    <w:rsid w:val="00BF19FB"/>
    <w:rsid w:val="00BF1C7F"/>
    <w:rsid w:val="00BF7EB6"/>
    <w:rsid w:val="00C132D8"/>
    <w:rsid w:val="00C31AB1"/>
    <w:rsid w:val="00C46E8C"/>
    <w:rsid w:val="00C573F2"/>
    <w:rsid w:val="00C74598"/>
    <w:rsid w:val="00C74B7C"/>
    <w:rsid w:val="00CB305B"/>
    <w:rsid w:val="00CC3154"/>
    <w:rsid w:val="00CD7AC2"/>
    <w:rsid w:val="00CE2E31"/>
    <w:rsid w:val="00CE5246"/>
    <w:rsid w:val="00D005A8"/>
    <w:rsid w:val="00D04C10"/>
    <w:rsid w:val="00D273EB"/>
    <w:rsid w:val="00D3564D"/>
    <w:rsid w:val="00D40B50"/>
    <w:rsid w:val="00D56A19"/>
    <w:rsid w:val="00D6192F"/>
    <w:rsid w:val="00D73571"/>
    <w:rsid w:val="00D86019"/>
    <w:rsid w:val="00DD3C34"/>
    <w:rsid w:val="00DD54AA"/>
    <w:rsid w:val="00DD72B5"/>
    <w:rsid w:val="00DF6432"/>
    <w:rsid w:val="00DF6B64"/>
    <w:rsid w:val="00E1005A"/>
    <w:rsid w:val="00E42F27"/>
    <w:rsid w:val="00E60522"/>
    <w:rsid w:val="00E7616F"/>
    <w:rsid w:val="00E93F73"/>
    <w:rsid w:val="00EA11BB"/>
    <w:rsid w:val="00EC2B42"/>
    <w:rsid w:val="00EC4D64"/>
    <w:rsid w:val="00ED23E3"/>
    <w:rsid w:val="00ED2DF5"/>
    <w:rsid w:val="00F07C37"/>
    <w:rsid w:val="00F1157D"/>
    <w:rsid w:val="00F1573C"/>
    <w:rsid w:val="00F25287"/>
    <w:rsid w:val="00F25640"/>
    <w:rsid w:val="00F42A84"/>
    <w:rsid w:val="00F712CC"/>
    <w:rsid w:val="00F828EA"/>
    <w:rsid w:val="00FC56ED"/>
    <w:rsid w:val="00FE5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3C20E1"/>
  <w15:docId w15:val="{36568BA5-05FB-40E9-81D3-B6050151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1908"/>
  </w:style>
  <w:style w:type="paragraph" w:styleId="Titolo1">
    <w:name w:val="heading 1"/>
    <w:aliases w:val="Num Heading 1"/>
    <w:basedOn w:val="Normale"/>
    <w:next w:val="Normale"/>
    <w:link w:val="Titolo1Carattere"/>
    <w:qFormat/>
    <w:rsid w:val="005F4F27"/>
    <w:pPr>
      <w:keepNext/>
      <w:pageBreakBefore/>
      <w:tabs>
        <w:tab w:val="num" w:pos="432"/>
      </w:tabs>
      <w:spacing w:before="480" w:after="120" w:line="276" w:lineRule="auto"/>
      <w:ind w:left="432" w:hanging="432"/>
      <w:contextualSpacing/>
      <w:jc w:val="both"/>
      <w:outlineLvl w:val="0"/>
    </w:pPr>
    <w:rPr>
      <w:rFonts w:ascii="Cambria" w:eastAsia="Times New Roman" w:hAnsi="Cambria"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5D7C"/>
    <w:pPr>
      <w:autoSpaceDE w:val="0"/>
      <w:autoSpaceDN w:val="0"/>
      <w:adjustRightInd w:val="0"/>
    </w:pPr>
    <w:rPr>
      <w:rFonts w:ascii="Bookman Old Style" w:hAnsi="Bookman Old Style" w:cs="Bookman Old Style"/>
      <w:color w:val="000000"/>
      <w:sz w:val="24"/>
      <w:szCs w:val="24"/>
    </w:rPr>
  </w:style>
  <w:style w:type="paragraph" w:styleId="Testofumetto">
    <w:name w:val="Balloon Text"/>
    <w:basedOn w:val="Normale"/>
    <w:link w:val="TestofumettoCarattere"/>
    <w:uiPriority w:val="99"/>
    <w:semiHidden/>
    <w:unhideWhenUsed/>
    <w:rsid w:val="00ED23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23E3"/>
    <w:rPr>
      <w:rFonts w:ascii="Tahoma" w:hAnsi="Tahoma" w:cs="Tahoma"/>
      <w:sz w:val="16"/>
      <w:szCs w:val="16"/>
    </w:rPr>
  </w:style>
  <w:style w:type="paragraph" w:styleId="Paragrafoelenco">
    <w:name w:val="List Paragraph"/>
    <w:basedOn w:val="Normale"/>
    <w:link w:val="ParagrafoelencoCarattere"/>
    <w:uiPriority w:val="34"/>
    <w:qFormat/>
    <w:rsid w:val="00371908"/>
    <w:pPr>
      <w:ind w:left="720"/>
    </w:pPr>
  </w:style>
  <w:style w:type="table" w:customStyle="1" w:styleId="TableNormal">
    <w:name w:val="Table Normal"/>
    <w:uiPriority w:val="2"/>
    <w:semiHidden/>
    <w:unhideWhenUsed/>
    <w:qFormat/>
    <w:rsid w:val="00045951"/>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45951"/>
    <w:pPr>
      <w:widowControl w:val="0"/>
      <w:autoSpaceDE w:val="0"/>
      <w:autoSpaceDN w:val="0"/>
      <w:ind w:left="113"/>
      <w:jc w:val="both"/>
    </w:pPr>
    <w:rPr>
      <w:rFonts w:ascii="Georgia" w:eastAsia="Georgia" w:hAnsi="Georgia" w:cs="Georgia"/>
      <w:sz w:val="24"/>
      <w:szCs w:val="24"/>
      <w:lang w:val="en-US"/>
    </w:rPr>
  </w:style>
  <w:style w:type="character" w:customStyle="1" w:styleId="CorpotestoCarattere">
    <w:name w:val="Corpo testo Carattere"/>
    <w:basedOn w:val="Carpredefinitoparagrafo"/>
    <w:link w:val="Corpotesto"/>
    <w:uiPriority w:val="1"/>
    <w:rsid w:val="00045951"/>
    <w:rPr>
      <w:rFonts w:ascii="Georgia" w:eastAsia="Georgia" w:hAnsi="Georgia" w:cs="Georgia"/>
      <w:sz w:val="24"/>
      <w:szCs w:val="24"/>
      <w:lang w:val="en-US"/>
    </w:rPr>
  </w:style>
  <w:style w:type="paragraph" w:customStyle="1" w:styleId="Titolo21">
    <w:name w:val="Titolo 21"/>
    <w:basedOn w:val="Normale"/>
    <w:uiPriority w:val="1"/>
    <w:qFormat/>
    <w:rsid w:val="00577951"/>
    <w:pPr>
      <w:widowControl w:val="0"/>
      <w:autoSpaceDE w:val="0"/>
      <w:autoSpaceDN w:val="0"/>
      <w:ind w:left="571" w:hanging="458"/>
      <w:outlineLvl w:val="2"/>
    </w:pPr>
    <w:rPr>
      <w:rFonts w:ascii="Georgia" w:eastAsia="Georgia" w:hAnsi="Georgia" w:cs="Georgia"/>
      <w:b/>
      <w:bCs/>
      <w:sz w:val="28"/>
      <w:szCs w:val="28"/>
      <w:lang w:val="en-US"/>
    </w:rPr>
  </w:style>
  <w:style w:type="paragraph" w:styleId="Intestazione">
    <w:name w:val="header"/>
    <w:basedOn w:val="Normale"/>
    <w:link w:val="IntestazioneCarattere"/>
    <w:uiPriority w:val="99"/>
    <w:unhideWhenUsed/>
    <w:rsid w:val="00577951"/>
    <w:pPr>
      <w:tabs>
        <w:tab w:val="center" w:pos="4819"/>
        <w:tab w:val="right" w:pos="9638"/>
      </w:tabs>
    </w:pPr>
  </w:style>
  <w:style w:type="character" w:customStyle="1" w:styleId="IntestazioneCarattere">
    <w:name w:val="Intestazione Carattere"/>
    <w:basedOn w:val="Carpredefinitoparagrafo"/>
    <w:link w:val="Intestazione"/>
    <w:uiPriority w:val="99"/>
    <w:rsid w:val="00577951"/>
  </w:style>
  <w:style w:type="paragraph" w:styleId="Pidipagina">
    <w:name w:val="footer"/>
    <w:basedOn w:val="Normale"/>
    <w:link w:val="PidipaginaCarattere"/>
    <w:uiPriority w:val="99"/>
    <w:unhideWhenUsed/>
    <w:rsid w:val="00577951"/>
    <w:pPr>
      <w:tabs>
        <w:tab w:val="center" w:pos="4819"/>
        <w:tab w:val="right" w:pos="9638"/>
      </w:tabs>
    </w:pPr>
  </w:style>
  <w:style w:type="character" w:customStyle="1" w:styleId="PidipaginaCarattere">
    <w:name w:val="Piè di pagina Carattere"/>
    <w:basedOn w:val="Carpredefinitoparagrafo"/>
    <w:link w:val="Pidipagina"/>
    <w:uiPriority w:val="99"/>
    <w:rsid w:val="00577951"/>
  </w:style>
  <w:style w:type="character" w:customStyle="1" w:styleId="WW8Num1z0">
    <w:name w:val="WW8Num1z0"/>
    <w:rsid w:val="007B525D"/>
    <w:rPr>
      <w:rFonts w:ascii="Symbol" w:hAnsi="Symbol"/>
      <w:sz w:val="16"/>
    </w:rPr>
  </w:style>
  <w:style w:type="paragraph" w:customStyle="1" w:styleId="p1">
    <w:name w:val="p1"/>
    <w:basedOn w:val="Normale"/>
    <w:rsid w:val="007B525D"/>
    <w:rPr>
      <w:rFonts w:ascii=".SF UI Text" w:eastAsia="Calibri" w:hAnsi=".SF UI Text" w:cs="Times New Roman"/>
      <w:color w:val="454545"/>
      <w:sz w:val="26"/>
      <w:szCs w:val="26"/>
      <w:lang w:eastAsia="it-IT"/>
    </w:rPr>
  </w:style>
  <w:style w:type="paragraph" w:customStyle="1" w:styleId="p2">
    <w:name w:val="p2"/>
    <w:basedOn w:val="Normale"/>
    <w:rsid w:val="007B525D"/>
    <w:rPr>
      <w:rFonts w:ascii=".SF UI Text" w:eastAsia="Calibri" w:hAnsi=".SF UI Text" w:cs="Times New Roman"/>
      <w:color w:val="454545"/>
      <w:sz w:val="26"/>
      <w:szCs w:val="26"/>
      <w:lang w:eastAsia="it-IT"/>
    </w:rPr>
  </w:style>
  <w:style w:type="character" w:customStyle="1" w:styleId="s1">
    <w:name w:val="s1"/>
    <w:rsid w:val="007B525D"/>
    <w:rPr>
      <w:rFonts w:ascii=".SFUIText" w:hAnsi=".SFUIText" w:hint="default"/>
      <w:b w:val="0"/>
      <w:bCs w:val="0"/>
      <w:i w:val="0"/>
      <w:iCs w:val="0"/>
      <w:sz w:val="34"/>
      <w:szCs w:val="34"/>
    </w:rPr>
  </w:style>
  <w:style w:type="character" w:customStyle="1" w:styleId="apple-converted-space">
    <w:name w:val="apple-converted-space"/>
    <w:rsid w:val="007B525D"/>
  </w:style>
  <w:style w:type="table" w:styleId="Grigliatabella">
    <w:name w:val="Table Grid"/>
    <w:basedOn w:val="Tabellanormale"/>
    <w:uiPriority w:val="59"/>
    <w:rsid w:val="00BA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Num Heading 1 Carattere"/>
    <w:basedOn w:val="Carpredefinitoparagrafo"/>
    <w:link w:val="Titolo1"/>
    <w:rsid w:val="005F4F27"/>
    <w:rPr>
      <w:rFonts w:ascii="Cambria" w:eastAsia="Times New Roman" w:hAnsi="Cambria" w:cs="Times New Roman"/>
      <w:b/>
      <w:bCs/>
      <w:sz w:val="28"/>
      <w:szCs w:val="28"/>
    </w:rPr>
  </w:style>
  <w:style w:type="character" w:styleId="Collegamentoipertestuale">
    <w:name w:val="Hyperlink"/>
    <w:basedOn w:val="Carpredefinitoparagrafo"/>
    <w:uiPriority w:val="99"/>
    <w:rsid w:val="005F4F27"/>
    <w:rPr>
      <w:color w:val="0000FF"/>
      <w:u w:val="single"/>
    </w:rPr>
  </w:style>
  <w:style w:type="paragraph" w:styleId="Sommario1">
    <w:name w:val="toc 1"/>
    <w:basedOn w:val="Normale"/>
    <w:next w:val="Normale"/>
    <w:autoRedefine/>
    <w:uiPriority w:val="39"/>
    <w:rsid w:val="005F4F27"/>
    <w:pPr>
      <w:tabs>
        <w:tab w:val="left" w:pos="660"/>
        <w:tab w:val="right" w:leader="dot" w:pos="9636"/>
      </w:tabs>
      <w:spacing w:after="100" w:line="276" w:lineRule="auto"/>
      <w:jc w:val="both"/>
    </w:pPr>
    <w:rPr>
      <w:rFonts w:ascii="Calibri" w:eastAsia="Times New Roman" w:hAnsi="Calibri" w:cs="Times New Roman"/>
      <w:noProof/>
      <w:sz w:val="21"/>
      <w:szCs w:val="21"/>
      <w:lang w:val="en-US"/>
    </w:rPr>
  </w:style>
  <w:style w:type="character" w:customStyle="1" w:styleId="ParagrafoelencoCarattere">
    <w:name w:val="Paragrafo elenco Carattere"/>
    <w:link w:val="Paragrafoelenco"/>
    <w:uiPriority w:val="34"/>
    <w:locked/>
    <w:rsid w:val="00323B7C"/>
  </w:style>
  <w:style w:type="paragraph" w:customStyle="1" w:styleId="TableParagraph">
    <w:name w:val="Table Paragraph"/>
    <w:basedOn w:val="Normale"/>
    <w:uiPriority w:val="1"/>
    <w:rsid w:val="0020549E"/>
    <w:pPr>
      <w:autoSpaceDE w:val="0"/>
      <w:autoSpaceDN w:val="0"/>
      <w:spacing w:line="248" w:lineRule="exact"/>
      <w:ind w:left="107"/>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39333">
      <w:bodyDiv w:val="1"/>
      <w:marLeft w:val="0"/>
      <w:marRight w:val="0"/>
      <w:marTop w:val="0"/>
      <w:marBottom w:val="0"/>
      <w:divBdr>
        <w:top w:val="none" w:sz="0" w:space="0" w:color="auto"/>
        <w:left w:val="none" w:sz="0" w:space="0" w:color="auto"/>
        <w:bottom w:val="none" w:sz="0" w:space="0" w:color="auto"/>
        <w:right w:val="none" w:sz="0" w:space="0" w:color="auto"/>
      </w:divBdr>
    </w:div>
    <w:div w:id="550845765">
      <w:bodyDiv w:val="1"/>
      <w:marLeft w:val="0"/>
      <w:marRight w:val="0"/>
      <w:marTop w:val="0"/>
      <w:marBottom w:val="0"/>
      <w:divBdr>
        <w:top w:val="none" w:sz="0" w:space="0" w:color="auto"/>
        <w:left w:val="none" w:sz="0" w:space="0" w:color="auto"/>
        <w:bottom w:val="none" w:sz="0" w:space="0" w:color="auto"/>
        <w:right w:val="none" w:sz="0" w:space="0" w:color="auto"/>
      </w:divBdr>
    </w:div>
    <w:div w:id="614948038">
      <w:bodyDiv w:val="1"/>
      <w:marLeft w:val="0"/>
      <w:marRight w:val="0"/>
      <w:marTop w:val="0"/>
      <w:marBottom w:val="0"/>
      <w:divBdr>
        <w:top w:val="none" w:sz="0" w:space="0" w:color="auto"/>
        <w:left w:val="none" w:sz="0" w:space="0" w:color="auto"/>
        <w:bottom w:val="none" w:sz="0" w:space="0" w:color="auto"/>
        <w:right w:val="none" w:sz="0" w:space="0" w:color="auto"/>
      </w:divBdr>
    </w:div>
    <w:div w:id="1034578113">
      <w:bodyDiv w:val="1"/>
      <w:marLeft w:val="0"/>
      <w:marRight w:val="0"/>
      <w:marTop w:val="0"/>
      <w:marBottom w:val="0"/>
      <w:divBdr>
        <w:top w:val="none" w:sz="0" w:space="0" w:color="auto"/>
        <w:left w:val="none" w:sz="0" w:space="0" w:color="auto"/>
        <w:bottom w:val="none" w:sz="0" w:space="0" w:color="auto"/>
        <w:right w:val="none" w:sz="0" w:space="0" w:color="auto"/>
      </w:divBdr>
    </w:div>
    <w:div w:id="1209490147">
      <w:bodyDiv w:val="1"/>
      <w:marLeft w:val="0"/>
      <w:marRight w:val="0"/>
      <w:marTop w:val="0"/>
      <w:marBottom w:val="0"/>
      <w:divBdr>
        <w:top w:val="none" w:sz="0" w:space="0" w:color="auto"/>
        <w:left w:val="none" w:sz="0" w:space="0" w:color="auto"/>
        <w:bottom w:val="none" w:sz="0" w:space="0" w:color="auto"/>
        <w:right w:val="none" w:sz="0" w:space="0" w:color="auto"/>
      </w:divBdr>
    </w:div>
    <w:div w:id="1705251966">
      <w:bodyDiv w:val="1"/>
      <w:marLeft w:val="0"/>
      <w:marRight w:val="0"/>
      <w:marTop w:val="0"/>
      <w:marBottom w:val="0"/>
      <w:divBdr>
        <w:top w:val="none" w:sz="0" w:space="0" w:color="auto"/>
        <w:left w:val="none" w:sz="0" w:space="0" w:color="auto"/>
        <w:bottom w:val="none" w:sz="0" w:space="0" w:color="auto"/>
        <w:right w:val="none" w:sz="0" w:space="0" w:color="auto"/>
      </w:divBdr>
    </w:div>
    <w:div w:id="1779639271">
      <w:bodyDiv w:val="1"/>
      <w:marLeft w:val="0"/>
      <w:marRight w:val="0"/>
      <w:marTop w:val="0"/>
      <w:marBottom w:val="0"/>
      <w:divBdr>
        <w:top w:val="none" w:sz="0" w:space="0" w:color="auto"/>
        <w:left w:val="none" w:sz="0" w:space="0" w:color="auto"/>
        <w:bottom w:val="none" w:sz="0" w:space="0" w:color="auto"/>
        <w:right w:val="none" w:sz="0" w:space="0" w:color="auto"/>
      </w:divBdr>
    </w:div>
    <w:div w:id="20915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5737E-006F-4FD2-9868-D1D6FCB2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5954</Words>
  <Characters>33944</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ruscio roberto</dc:creator>
  <cp:lastModifiedBy>BARTOLUCCI ARIANNA</cp:lastModifiedBy>
  <cp:revision>25</cp:revision>
  <cp:lastPrinted>2021-04-30T08:53:00Z</cp:lastPrinted>
  <dcterms:created xsi:type="dcterms:W3CDTF">2023-04-26T12:59:00Z</dcterms:created>
  <dcterms:modified xsi:type="dcterms:W3CDTF">2023-04-26T15:03:00Z</dcterms:modified>
</cp:coreProperties>
</file>